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pPr>
        <w:pStyle w:val="Heading1"/>
        <w:numPr>
          <w:ilvl w:val="0"/>
          <w:numId w:val="0"/>
        </w:numPr>
        <w:ind w:right="-144"/>
        <w:jc w:val="left"/>
        <w:rPr>
          <w:rFonts w:ascii="Times New Roman" w:hAnsi="Times New Roman"/>
          <w:sz w:val="28"/>
          <w:szCs w:val="28"/>
          <w:lang w:val="en-GB"/>
        </w:rPr>
      </w:pPr>
      <w:bookmarkStart w:id="0" w:name="_Toc42488069"/>
      <w:r w:rsidRPr="00E82463">
        <w:rPr>
          <w:rFonts w:ascii="Times New Roman" w:hAnsi="Times New Roman"/>
          <w:sz w:val="28"/>
          <w:szCs w:val="28"/>
          <w:lang w:val="en-GB"/>
        </w:rPr>
        <w:t>A.</w:t>
      </w:r>
      <w:r w:rsidRPr="00E82463">
        <w:rPr>
          <w:rFonts w:ascii="Times New Roman" w:hAnsi="Times New Roman"/>
          <w:sz w:val="28"/>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4F1E58" w:rsidRPr="004F1E58">
        <w:rPr>
          <w:rFonts w:ascii="Times New Roman" w:hAnsi="Times New Roman"/>
          <w:szCs w:val="28"/>
          <w:lang w:val="en-GB"/>
        </w:rPr>
        <w:t>EURED/01/07/15-SUP-02</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47783A" w:rsidRPr="00E82463" w:rsidRDefault="0047783A" w:rsidP="0047783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p>
    <w:p w:rsidR="0047783A" w:rsidRPr="00E82463" w:rsidRDefault="0047783A">
      <w:pPr>
        <w:pStyle w:val="Subtitle"/>
        <w:spacing w:before="0" w:after="240"/>
        <w:jc w:val="both"/>
        <w:rPr>
          <w:rFonts w:ascii="Times New Roman" w:hAnsi="Times New Roman"/>
          <w:sz w:val="22"/>
          <w:szCs w:val="22"/>
          <w:lang w:val="en-GB"/>
        </w:rPr>
      </w:pPr>
      <w:hyperlink r:id="rId8" w:history="1">
        <w:r w:rsidRPr="00E82463">
          <w:rPr>
            <w:rStyle w:val="Hyperlink"/>
            <w:rFonts w:ascii="Times New Roman" w:hAnsi="Times New Roman"/>
            <w:noProof/>
            <w:sz w:val="22"/>
            <w:szCs w:val="22"/>
            <w:lang w:val="en-GB"/>
          </w:rPr>
          <w:t>http://ec.europa.eu/europeaid/work/procedures/index_en.htm</w:t>
        </w:r>
      </w:hyperlink>
      <w:r w:rsidRPr="00E82463">
        <w:rPr>
          <w:rFonts w:ascii="Times New Roman" w:hAnsi="Times New Roman"/>
          <w:sz w:val="22"/>
          <w:szCs w:val="22"/>
          <w:lang w:val="en-GB"/>
        </w:rPr>
        <w:t>).</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 w:name="_Toc42488070"/>
      <w:r w:rsidRPr="00E82463">
        <w:rPr>
          <w:lang w:val="en-GB"/>
        </w:rPr>
        <w:t>Supplies to be provided</w:t>
      </w:r>
      <w:bookmarkEnd w:id="1"/>
    </w:p>
    <w:p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r>
      <w:r w:rsidRPr="009401AF">
        <w:rPr>
          <w:rFonts w:ascii="Times New Roman" w:hAnsi="Times New Roman"/>
          <w:sz w:val="22"/>
          <w:lang w:val="en-GB"/>
        </w:rPr>
        <w:t>The subject of the contract is the supply, manufacture</w:t>
      </w:r>
      <w:r w:rsidR="004F1E58" w:rsidRPr="009401AF">
        <w:rPr>
          <w:rFonts w:ascii="Times New Roman" w:hAnsi="Times New Roman"/>
          <w:sz w:val="22"/>
          <w:lang w:val="en-GB"/>
        </w:rPr>
        <w:t xml:space="preserve"> and</w:t>
      </w:r>
      <w:r w:rsidRPr="009401AF">
        <w:rPr>
          <w:rFonts w:ascii="Times New Roman" w:hAnsi="Times New Roman"/>
          <w:sz w:val="22"/>
          <w:lang w:val="en-GB"/>
        </w:rPr>
        <w:t xml:space="preserve"> delivery, by the Contractor of the following goods</w:t>
      </w:r>
      <w:r w:rsidR="004F1E58">
        <w:rPr>
          <w:rFonts w:ascii="Times New Roman" w:hAnsi="Times New Roman"/>
          <w:sz w:val="22"/>
          <w:lang w:val="en-GB"/>
        </w:rPr>
        <w:t>:</w:t>
      </w:r>
      <w:r w:rsidRPr="00E82463">
        <w:rPr>
          <w:rFonts w:ascii="Times New Roman" w:hAnsi="Times New Roman"/>
          <w:sz w:val="22"/>
          <w:lang w:val="en-GB"/>
        </w:rPr>
        <w:t xml:space="preserve"> </w:t>
      </w:r>
    </w:p>
    <w:p w:rsidR="0047783A" w:rsidRPr="009401AF" w:rsidRDefault="009401AF" w:rsidP="00E82463">
      <w:pPr>
        <w:ind w:left="567"/>
        <w:rPr>
          <w:rFonts w:ascii="Times New Roman" w:hAnsi="Times New Roman"/>
          <w:sz w:val="22"/>
        </w:rPr>
      </w:pPr>
      <w:r w:rsidRPr="009401AF">
        <w:rPr>
          <w:rFonts w:ascii="Times New Roman" w:hAnsi="Times New Roman"/>
          <w:sz w:val="22"/>
        </w:rPr>
        <w:t>Display panels: 33 pieces;</w:t>
      </w:r>
    </w:p>
    <w:p w:rsidR="0047783A" w:rsidRPr="00E82463" w:rsidRDefault="0047783A" w:rsidP="00E82463">
      <w:pPr>
        <w:ind w:left="567"/>
        <w:jc w:val="both"/>
        <w:rPr>
          <w:rFonts w:ascii="Times New Roman" w:hAnsi="Times New Roman"/>
          <w:sz w:val="22"/>
        </w:rPr>
      </w:pPr>
      <w:r w:rsidRPr="009401AF">
        <w:rPr>
          <w:rFonts w:ascii="Times New Roman" w:hAnsi="Times New Roman"/>
          <w:sz w:val="22"/>
        </w:rPr>
        <w:t xml:space="preserve">in the place where supplies are to be delivered, </w:t>
      </w:r>
      <w:r w:rsidR="00CF63C2" w:rsidRPr="009401AF">
        <w:rPr>
          <w:rFonts w:ascii="Times New Roman" w:hAnsi="Times New Roman"/>
          <w:sz w:val="22"/>
        </w:rPr>
        <w:t>DAP</w:t>
      </w:r>
      <w:r w:rsidR="00CF63C2" w:rsidRPr="009401AF">
        <w:rPr>
          <w:rStyle w:val="FootnoteReference"/>
          <w:rFonts w:ascii="Times New Roman" w:hAnsi="Times New Roman"/>
          <w:sz w:val="22"/>
        </w:rPr>
        <w:footnoteReference w:id="2"/>
      </w:r>
      <w:r w:rsidR="006A5F84" w:rsidRPr="009401AF">
        <w:rPr>
          <w:rFonts w:ascii="Times New Roman" w:hAnsi="Times New Roman"/>
          <w:sz w:val="22"/>
        </w:rPr>
        <w:t>,</w:t>
      </w:r>
      <w:r w:rsidRPr="009401AF">
        <w:rPr>
          <w:rFonts w:ascii="Times New Roman" w:hAnsi="Times New Roman"/>
          <w:sz w:val="22"/>
        </w:rPr>
        <w:t xml:space="preserve"> and the implementation period in </w:t>
      </w:r>
      <w:r w:rsidR="009401AF" w:rsidRPr="009401AF">
        <w:rPr>
          <w:rFonts w:ascii="Times New Roman" w:hAnsi="Times New Roman"/>
          <w:sz w:val="22"/>
        </w:rPr>
        <w:t xml:space="preserve">45 </w:t>
      </w:r>
      <w:r w:rsidRPr="009401AF">
        <w:rPr>
          <w:rFonts w:ascii="Times New Roman" w:hAnsi="Times New Roman"/>
          <w:sz w:val="22"/>
        </w:rPr>
        <w:t xml:space="preserve">days, in accordance with point 15 of the </w:t>
      </w:r>
      <w:r w:rsidR="00171C45" w:rsidRPr="009401AF">
        <w:rPr>
          <w:rFonts w:ascii="Times New Roman" w:hAnsi="Times New Roman"/>
          <w:sz w:val="22"/>
        </w:rPr>
        <w:t>Contract notice</w:t>
      </w:r>
      <w:r w:rsidRPr="009401AF">
        <w:rPr>
          <w:rFonts w:ascii="Times New Roman" w:hAnsi="Times New Roman"/>
          <w:sz w:val="22"/>
        </w:rPr>
        <w:t>.</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47783A" w:rsidP="00E82463">
      <w:pPr>
        <w:pStyle w:val="Heading2"/>
        <w:keepNext w:val="0"/>
        <w:tabs>
          <w:tab w:val="left" w:pos="709"/>
        </w:tabs>
        <w:ind w:left="567" w:hanging="567"/>
        <w:jc w:val="both"/>
        <w:rPr>
          <w:rFonts w:ascii="Times New Roman" w:hAnsi="Times New Roman"/>
          <w:lang w:val="en-GB"/>
        </w:rPr>
      </w:pPr>
      <w:r w:rsidRPr="00E82463">
        <w:rPr>
          <w:rFonts w:ascii="Times New Roman" w:hAnsi="Times New Roman"/>
          <w:sz w:val="22"/>
          <w:lang w:val="en-GB"/>
        </w:rPr>
        <w:t>1.3</w:t>
      </w:r>
      <w:r w:rsidRPr="00E82463">
        <w:rPr>
          <w:rFonts w:ascii="Times New Roman" w:hAnsi="Times New Roman"/>
          <w:sz w:val="22"/>
          <w:lang w:val="en-GB"/>
        </w:rPr>
        <w:tab/>
      </w:r>
      <w:r w:rsidRPr="009401AF">
        <w:rPr>
          <w:rFonts w:ascii="Times New Roman" w:hAnsi="Times New Roman"/>
          <w:sz w:val="22"/>
          <w:lang w:val="en-GB"/>
        </w:rPr>
        <w:t xml:space="preserve">The supplies described under </w:t>
      </w:r>
      <w:r w:rsidR="009401AF" w:rsidRPr="009401AF">
        <w:rPr>
          <w:rFonts w:ascii="Times New Roman" w:hAnsi="Times New Roman"/>
          <w:sz w:val="22"/>
          <w:lang w:val="en-GB"/>
        </w:rPr>
        <w:t>m</w:t>
      </w:r>
      <w:r w:rsidRPr="009401AF">
        <w:rPr>
          <w:rFonts w:ascii="Times New Roman" w:hAnsi="Times New Roman"/>
          <w:sz w:val="22"/>
          <w:lang w:val="en-GB"/>
        </w:rPr>
        <w:t>ust be accompanied by a</w:t>
      </w:r>
      <w:r w:rsidR="00F67C74" w:rsidRPr="009401AF">
        <w:rPr>
          <w:rFonts w:ascii="Times New Roman" w:hAnsi="Times New Roman"/>
          <w:sz w:val="22"/>
          <w:lang w:val="en-GB"/>
        </w:rPr>
        <w:t>n additional</w:t>
      </w:r>
      <w:r w:rsidRPr="009401AF">
        <w:rPr>
          <w:rFonts w:ascii="Times New Roman" w:hAnsi="Times New Roman"/>
          <w:sz w:val="22"/>
          <w:lang w:val="en-GB"/>
        </w:rPr>
        <w:t xml:space="preserve"> </w:t>
      </w:r>
      <w:r w:rsidR="006A5F84" w:rsidRPr="009401AF">
        <w:rPr>
          <w:rFonts w:ascii="Times New Roman" w:hAnsi="Times New Roman"/>
          <w:sz w:val="22"/>
          <w:lang w:val="en-GB"/>
        </w:rPr>
        <w:t>‘</w:t>
      </w:r>
      <w:r w:rsidRPr="009401AF">
        <w:rPr>
          <w:rFonts w:ascii="Times New Roman" w:hAnsi="Times New Roman"/>
          <w:sz w:val="22"/>
          <w:lang w:val="en-GB"/>
        </w:rPr>
        <w:t>lot</w:t>
      </w:r>
      <w:r w:rsidR="006A5F84" w:rsidRPr="009401AF">
        <w:rPr>
          <w:rFonts w:ascii="Times New Roman" w:hAnsi="Times New Roman"/>
          <w:sz w:val="22"/>
          <w:lang w:val="en-GB"/>
        </w:rPr>
        <w:t>’</w:t>
      </w:r>
      <w:r w:rsidRPr="009401AF">
        <w:rPr>
          <w:rFonts w:ascii="Times New Roman" w:hAnsi="Times New Roman"/>
          <w:sz w:val="22"/>
          <w:lang w:val="en-GB"/>
        </w:rPr>
        <w:t xml:space="preserve"> </w:t>
      </w:r>
      <w:r w:rsidR="00F67C74" w:rsidRPr="009401AF">
        <w:rPr>
          <w:rFonts w:ascii="Times New Roman" w:hAnsi="Times New Roman"/>
          <w:sz w:val="22"/>
          <w:lang w:val="en-GB"/>
        </w:rPr>
        <w:t xml:space="preserve">consisting </w:t>
      </w:r>
      <w:r w:rsidRPr="009401AF">
        <w:rPr>
          <w:rFonts w:ascii="Times New Roman" w:hAnsi="Times New Roman"/>
          <w:sz w:val="22"/>
          <w:lang w:val="en-GB"/>
        </w:rPr>
        <w:t xml:space="preserve">of spare parts and/or consumables. </w:t>
      </w:r>
      <w:r w:rsidR="00C86724" w:rsidRPr="009401AF">
        <w:rPr>
          <w:rFonts w:ascii="Times New Roman" w:hAnsi="Times New Roman"/>
          <w:sz w:val="22"/>
          <w:lang w:val="en-GB"/>
        </w:rPr>
        <w:t>T</w:t>
      </w:r>
      <w:r w:rsidRPr="009401AF">
        <w:rPr>
          <w:rFonts w:ascii="Times New Roman" w:hAnsi="Times New Roman"/>
          <w:sz w:val="22"/>
          <w:lang w:val="en-GB"/>
        </w:rPr>
        <w:t xml:space="preserve">he unit price </w:t>
      </w:r>
      <w:r w:rsidR="00C86724" w:rsidRPr="009401AF">
        <w:rPr>
          <w:rFonts w:ascii="Times New Roman" w:hAnsi="Times New Roman"/>
          <w:sz w:val="22"/>
          <w:lang w:val="en-GB"/>
        </w:rPr>
        <w:t>/</w:t>
      </w:r>
      <w:r w:rsidRPr="009401AF">
        <w:rPr>
          <w:rFonts w:ascii="Times New Roman" w:hAnsi="Times New Roman"/>
          <w:sz w:val="22"/>
          <w:lang w:val="en-GB"/>
        </w:rPr>
        <w:t xml:space="preserve"> overall price of spare parts will </w:t>
      </w:r>
      <w:r w:rsidR="00C86724" w:rsidRPr="009401AF">
        <w:rPr>
          <w:rFonts w:ascii="Times New Roman" w:hAnsi="Times New Roman"/>
          <w:sz w:val="22"/>
          <w:lang w:val="en-GB"/>
        </w:rPr>
        <w:t>not influence</w:t>
      </w:r>
      <w:r w:rsidRPr="009401AF">
        <w:rPr>
          <w:rFonts w:ascii="Times New Roman" w:hAnsi="Times New Roman"/>
          <w:sz w:val="22"/>
          <w:lang w:val="en-GB"/>
        </w:rPr>
        <w:t xml:space="preserve"> the evaluation of the tender</w:t>
      </w:r>
      <w:r w:rsidR="00C86724" w:rsidRPr="009401AF">
        <w:rPr>
          <w:rFonts w:ascii="Times New Roman" w:hAnsi="Times New Roman"/>
          <w:sz w:val="22"/>
          <w:lang w:val="en-GB"/>
        </w:rPr>
        <w:t>s</w:t>
      </w:r>
      <w:r w:rsidRPr="009401AF">
        <w:rPr>
          <w:rFonts w:ascii="Times New Roman" w:hAnsi="Times New Roman"/>
          <w:sz w:val="22"/>
          <w:lang w:val="en-GB"/>
        </w:rPr>
        <w:t xml:space="preserve">, except where </w:t>
      </w:r>
      <w:r w:rsidR="00C86724" w:rsidRPr="009401AF">
        <w:rPr>
          <w:rFonts w:ascii="Times New Roman" w:hAnsi="Times New Roman"/>
          <w:sz w:val="22"/>
          <w:lang w:val="en-GB"/>
        </w:rPr>
        <w:t xml:space="preserve">they vary </w:t>
      </w:r>
      <w:r w:rsidRPr="009401AF">
        <w:rPr>
          <w:rFonts w:ascii="Times New Roman" w:hAnsi="Times New Roman"/>
          <w:sz w:val="22"/>
          <w:lang w:val="en-GB"/>
        </w:rPr>
        <w:t xml:space="preserve">substantially between the tenders received. </w:t>
      </w:r>
      <w:r w:rsidR="00C86724" w:rsidRPr="009401AF">
        <w:rPr>
          <w:rFonts w:ascii="Times New Roman" w:hAnsi="Times New Roman"/>
          <w:sz w:val="22"/>
          <w:lang w:val="en-GB"/>
        </w:rPr>
        <w:t>L</w:t>
      </w:r>
      <w:r w:rsidRPr="009401AF">
        <w:rPr>
          <w:rFonts w:ascii="Times New Roman" w:hAnsi="Times New Roman"/>
          <w:sz w:val="22"/>
          <w:lang w:val="en-GB"/>
        </w:rPr>
        <w:t>ist</w:t>
      </w:r>
      <w:r w:rsidR="00C86724" w:rsidRPr="009401AF">
        <w:rPr>
          <w:rFonts w:ascii="Times New Roman" w:hAnsi="Times New Roman"/>
          <w:sz w:val="22"/>
          <w:lang w:val="en-GB"/>
        </w:rPr>
        <w:t>s</w:t>
      </w:r>
      <w:r w:rsidRPr="009401AF">
        <w:rPr>
          <w:rFonts w:ascii="Times New Roman" w:hAnsi="Times New Roman"/>
          <w:sz w:val="22"/>
          <w:lang w:val="en-GB"/>
        </w:rPr>
        <w:t xml:space="preserve"> of spare parts must be drawn up by tenderer</w:t>
      </w:r>
      <w:r w:rsidR="00F67C74" w:rsidRPr="009401AF">
        <w:rPr>
          <w:rFonts w:ascii="Times New Roman" w:hAnsi="Times New Roman"/>
          <w:sz w:val="22"/>
          <w:lang w:val="en-GB"/>
        </w:rPr>
        <w:t>s</w:t>
      </w:r>
      <w:r w:rsidRPr="009401AF">
        <w:rPr>
          <w:rFonts w:ascii="Times New Roman" w:hAnsi="Times New Roman"/>
          <w:sz w:val="22"/>
          <w:lang w:val="en-GB"/>
        </w:rPr>
        <w:t xml:space="preserve"> </w:t>
      </w:r>
      <w:r w:rsidR="00F67C74" w:rsidRPr="009401AF">
        <w:rPr>
          <w:rFonts w:ascii="Times New Roman" w:hAnsi="Times New Roman"/>
          <w:sz w:val="22"/>
          <w:lang w:val="en-GB"/>
        </w:rPr>
        <w:t xml:space="preserve">on </w:t>
      </w:r>
      <w:r w:rsidRPr="009401AF">
        <w:rPr>
          <w:rFonts w:ascii="Times New Roman" w:hAnsi="Times New Roman"/>
          <w:sz w:val="22"/>
          <w:lang w:val="en-GB"/>
        </w:rPr>
        <w:t xml:space="preserve">the </w:t>
      </w:r>
      <w:r w:rsidR="00F67C74" w:rsidRPr="009401AF">
        <w:rPr>
          <w:rFonts w:ascii="Times New Roman" w:hAnsi="Times New Roman"/>
          <w:sz w:val="22"/>
          <w:lang w:val="en-GB"/>
        </w:rPr>
        <w:t xml:space="preserve">basis </w:t>
      </w:r>
      <w:r w:rsidRPr="009401AF">
        <w:rPr>
          <w:rFonts w:ascii="Times New Roman" w:hAnsi="Times New Roman"/>
          <w:sz w:val="22"/>
          <w:lang w:val="en-GB"/>
        </w:rPr>
        <w:t xml:space="preserve">of </w:t>
      </w:r>
      <w:r w:rsidR="00F67C74" w:rsidRPr="009401AF">
        <w:rPr>
          <w:rFonts w:ascii="Times New Roman" w:hAnsi="Times New Roman"/>
          <w:sz w:val="22"/>
          <w:lang w:val="en-GB"/>
        </w:rPr>
        <w:t xml:space="preserve">their </w:t>
      </w:r>
      <w:r w:rsidRPr="009401AF">
        <w:rPr>
          <w:rFonts w:ascii="Times New Roman" w:hAnsi="Times New Roman"/>
          <w:sz w:val="22"/>
          <w:lang w:val="en-GB"/>
        </w:rPr>
        <w:t xml:space="preserve">professional experience and the </w:t>
      </w:r>
      <w:r w:rsidR="00F67C74" w:rsidRPr="009401AF">
        <w:rPr>
          <w:rFonts w:ascii="Times New Roman" w:hAnsi="Times New Roman"/>
          <w:sz w:val="22"/>
          <w:lang w:val="en-GB"/>
        </w:rPr>
        <w:t xml:space="preserve">expected </w:t>
      </w:r>
      <w:r w:rsidRPr="009401AF">
        <w:rPr>
          <w:rFonts w:ascii="Times New Roman" w:hAnsi="Times New Roman"/>
          <w:sz w:val="22"/>
          <w:lang w:val="en-GB"/>
        </w:rPr>
        <w:t xml:space="preserve">places of use; </w:t>
      </w:r>
      <w:r w:rsidR="00C86724" w:rsidRPr="009401AF">
        <w:rPr>
          <w:rFonts w:ascii="Times New Roman" w:hAnsi="Times New Roman"/>
          <w:sz w:val="22"/>
          <w:lang w:val="en-GB"/>
        </w:rPr>
        <w:t xml:space="preserve">they </w:t>
      </w:r>
      <w:r w:rsidRPr="009401AF">
        <w:rPr>
          <w:rFonts w:ascii="Times New Roman" w:hAnsi="Times New Roman"/>
          <w:sz w:val="22"/>
          <w:lang w:val="en-GB"/>
        </w:rPr>
        <w:t xml:space="preserve">must show the unit prices of the parts, calculated </w:t>
      </w:r>
      <w:r w:rsidR="00C86724" w:rsidRPr="009401AF">
        <w:rPr>
          <w:rFonts w:ascii="Times New Roman" w:hAnsi="Times New Roman"/>
          <w:sz w:val="22"/>
          <w:lang w:val="en-GB"/>
        </w:rPr>
        <w:t>as specified in</w:t>
      </w:r>
      <w:r w:rsidRPr="009401AF">
        <w:rPr>
          <w:rFonts w:ascii="Times New Roman" w:hAnsi="Times New Roman"/>
          <w:sz w:val="22"/>
          <w:lang w:val="en-GB"/>
        </w:rPr>
        <w:t xml:space="preserve"> Article 11 (below). </w:t>
      </w:r>
      <w:r w:rsidR="00F67C74" w:rsidRPr="009401AF">
        <w:rPr>
          <w:rFonts w:ascii="Times New Roman" w:hAnsi="Times New Roman"/>
          <w:sz w:val="22"/>
          <w:lang w:val="en-GB"/>
        </w:rPr>
        <w:t>T</w:t>
      </w:r>
      <w:r w:rsidRPr="009401AF">
        <w:rPr>
          <w:rFonts w:ascii="Times New Roman" w:hAnsi="Times New Roman"/>
          <w:sz w:val="22"/>
          <w:lang w:val="en-GB"/>
        </w:rPr>
        <w:t>he Contracting Authority reserves the right to alter the list of spare parts; any changes will appear in the contract.</w:t>
      </w:r>
    </w:p>
    <w:p w:rsidR="009401AF" w:rsidRDefault="0047783A" w:rsidP="009401AF">
      <w:pPr>
        <w:pStyle w:val="Heading2"/>
        <w:ind w:left="567" w:hanging="567"/>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004F1264" w:rsidRPr="009401AF">
        <w:rPr>
          <w:rFonts w:ascii="Times New Roman" w:hAnsi="Times New Roman"/>
          <w:sz w:val="22"/>
          <w:lang w:val="en-GB"/>
        </w:rPr>
        <w:t>Tenderers are authorised to tender for a variant solution in addition to the present tender. The price of the variant solution has to be equal or below to the price of the winning tender</w:t>
      </w:r>
      <w:r w:rsidR="001309AB" w:rsidRPr="009401AF">
        <w:rPr>
          <w:rFonts w:ascii="Times New Roman" w:hAnsi="Times New Roman"/>
          <w:sz w:val="22"/>
          <w:lang w:val="en-GB"/>
        </w:rPr>
        <w:t>. See section 20.5</w:t>
      </w:r>
    </w:p>
    <w:p w:rsidR="009401AF" w:rsidRPr="009401AF" w:rsidRDefault="009401AF" w:rsidP="009401AF"/>
    <w:p w:rsidR="0047783A" w:rsidRPr="009401AF" w:rsidRDefault="004F1264" w:rsidP="009401AF">
      <w:pPr>
        <w:pStyle w:val="Heading2"/>
        <w:ind w:left="567" w:hanging="567"/>
        <w:rPr>
          <w:rFonts w:ascii="Times New Roman" w:hAnsi="Times New Roman"/>
          <w:lang w:val="en-GB"/>
        </w:rPr>
      </w:pPr>
      <w:r w:rsidRPr="00E82463">
        <w:rPr>
          <w:rFonts w:ascii="Times New Roman" w:hAnsi="Times New Roman"/>
          <w:sz w:val="22"/>
          <w:lang w:val="en-GB"/>
        </w:rPr>
        <w:lastRenderedPageBreak/>
        <w:br/>
      </w:r>
      <w:bookmarkStart w:id="4" w:name="_Toc42488071"/>
      <w:r w:rsidR="0047783A" w:rsidRPr="009401AF">
        <w:rPr>
          <w:rFonts w:ascii="Times New Roman" w:hAnsi="Times New Roman"/>
          <w:sz w:val="22"/>
          <w:lang w:val="en-GB"/>
        </w:rPr>
        <w:t>Timetable</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693"/>
      </w:tblGrid>
      <w:tr w:rsidR="0047783A" w:rsidRPr="00E82463" w:rsidTr="00E82463">
        <w:tblPrEx>
          <w:tblCellMar>
            <w:top w:w="0" w:type="dxa"/>
            <w:bottom w:w="0" w:type="dxa"/>
          </w:tblCellMar>
        </w:tblPrEx>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693"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47783A" w:rsidP="009401AF">
            <w:pPr>
              <w:rPr>
                <w:rFonts w:ascii="Times New Roman" w:hAnsi="Times New Roman"/>
                <w:sz w:val="22"/>
              </w:rPr>
            </w:pPr>
            <w:r w:rsidRPr="00E82463">
              <w:rPr>
                <w:rFonts w:ascii="Times New Roman" w:hAnsi="Times New Roman"/>
                <w:sz w:val="22"/>
              </w:rPr>
              <w:t>Not applicable</w:t>
            </w:r>
          </w:p>
        </w:tc>
        <w:tc>
          <w:tcPr>
            <w:tcW w:w="2693" w:type="dxa"/>
          </w:tcPr>
          <w:p w:rsidR="0047783A" w:rsidRPr="00E82463" w:rsidRDefault="0047783A" w:rsidP="009401AF">
            <w:pPr>
              <w:jc w:val="both"/>
              <w:rPr>
                <w:rFonts w:ascii="Times New Roman" w:hAnsi="Times New Roman"/>
                <w:sz w:val="22"/>
              </w:rPr>
            </w:pPr>
            <w:r w:rsidRPr="00E82463">
              <w:rPr>
                <w:rFonts w:ascii="Times New Roman" w:hAnsi="Times New Roman"/>
                <w:sz w:val="22"/>
              </w:rPr>
              <w:t>Not applicable</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Contracting Authority</w:t>
            </w:r>
          </w:p>
        </w:tc>
        <w:tc>
          <w:tcPr>
            <w:tcW w:w="2410" w:type="dxa"/>
          </w:tcPr>
          <w:p w:rsidR="0047783A" w:rsidRPr="00E82463" w:rsidRDefault="009401AF" w:rsidP="009401AF">
            <w:pPr>
              <w:rPr>
                <w:rFonts w:ascii="Times New Roman" w:hAnsi="Times New Roman"/>
                <w:sz w:val="22"/>
              </w:rPr>
            </w:pPr>
            <w:r>
              <w:rPr>
                <w:rFonts w:ascii="Times New Roman" w:hAnsi="Times New Roman"/>
                <w:sz w:val="22"/>
              </w:rPr>
              <w:t>5</w:t>
            </w:r>
            <w:r w:rsidR="0047783A" w:rsidRPr="00E82463">
              <w:rPr>
                <w:rFonts w:ascii="Times New Roman" w:hAnsi="Times New Roman"/>
                <w:sz w:val="22"/>
              </w:rPr>
              <w:t xml:space="preserve"> days before deadline for tenders</w:t>
            </w:r>
          </w:p>
        </w:tc>
        <w:tc>
          <w:tcPr>
            <w:tcW w:w="2693" w:type="dxa"/>
          </w:tcPr>
          <w:p w:rsidR="0047783A" w:rsidRPr="00E82463" w:rsidRDefault="009401AF">
            <w:pPr>
              <w:jc w:val="both"/>
              <w:rPr>
                <w:rFonts w:ascii="Times New Roman" w:hAnsi="Times New Roman"/>
                <w:sz w:val="22"/>
              </w:rPr>
            </w:pPr>
            <w:r>
              <w:rPr>
                <w:rFonts w:ascii="Times New Roman" w:hAnsi="Times New Roman"/>
                <w:sz w:val="22"/>
              </w:rPr>
              <w:t>12:00</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rPr>
                <w:rFonts w:ascii="Times New Roman" w:hAnsi="Times New Roman"/>
                <w:b/>
                <w:sz w:val="22"/>
              </w:rPr>
            </w:pPr>
            <w:r w:rsidRPr="00E82463">
              <w:rPr>
                <w:rFonts w:ascii="Times New Roman" w:hAnsi="Times New Roman"/>
                <w:b/>
                <w:sz w:val="22"/>
              </w:rPr>
              <w:t>Last date on which clarifications are issued by the Contracting Authority</w:t>
            </w:r>
          </w:p>
        </w:tc>
        <w:tc>
          <w:tcPr>
            <w:tcW w:w="2410" w:type="dxa"/>
          </w:tcPr>
          <w:p w:rsidR="0047783A" w:rsidRPr="00E82463" w:rsidRDefault="009401AF" w:rsidP="009401AF">
            <w:pPr>
              <w:rPr>
                <w:rFonts w:ascii="Times New Roman" w:hAnsi="Times New Roman"/>
                <w:sz w:val="22"/>
              </w:rPr>
            </w:pPr>
            <w:r>
              <w:rPr>
                <w:rFonts w:ascii="Times New Roman" w:hAnsi="Times New Roman"/>
                <w:sz w:val="22"/>
              </w:rPr>
              <w:t>8 July 2016</w:t>
            </w:r>
          </w:p>
        </w:tc>
        <w:tc>
          <w:tcPr>
            <w:tcW w:w="2693" w:type="dxa"/>
          </w:tcPr>
          <w:p w:rsidR="0047783A" w:rsidRPr="00E82463" w:rsidRDefault="009401AF">
            <w:pPr>
              <w:jc w:val="both"/>
              <w:rPr>
                <w:rFonts w:ascii="Times New Roman" w:hAnsi="Times New Roman"/>
                <w:sz w:val="22"/>
              </w:rPr>
            </w:pPr>
            <w:r>
              <w:rPr>
                <w:rFonts w:ascii="Times New Roman" w:hAnsi="Times New Roman"/>
                <w:sz w:val="22"/>
              </w:rPr>
              <w:t>17:00</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E82463" w:rsidRDefault="009401AF" w:rsidP="0047783A">
            <w:pPr>
              <w:rPr>
                <w:rFonts w:ascii="Times New Roman" w:hAnsi="Times New Roman"/>
                <w:sz w:val="22"/>
              </w:rPr>
            </w:pPr>
            <w:r>
              <w:rPr>
                <w:rFonts w:ascii="Times New Roman" w:hAnsi="Times New Roman"/>
                <w:sz w:val="22"/>
              </w:rPr>
              <w:t>11 July 2016</w:t>
            </w:r>
          </w:p>
        </w:tc>
        <w:tc>
          <w:tcPr>
            <w:tcW w:w="2693" w:type="dxa"/>
          </w:tcPr>
          <w:p w:rsidR="0047783A" w:rsidRPr="00E82463" w:rsidRDefault="009401AF">
            <w:pPr>
              <w:jc w:val="both"/>
              <w:rPr>
                <w:rFonts w:ascii="Times New Roman" w:hAnsi="Times New Roman"/>
                <w:sz w:val="22"/>
              </w:rPr>
            </w:pPr>
            <w:r>
              <w:rPr>
                <w:rFonts w:ascii="Times New Roman" w:hAnsi="Times New Roman"/>
                <w:sz w:val="22"/>
              </w:rPr>
              <w:t>16:00</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47783A" w:rsidRPr="00E82463" w:rsidRDefault="009401AF" w:rsidP="009401AF">
            <w:pPr>
              <w:rPr>
                <w:rFonts w:ascii="Times New Roman" w:hAnsi="Times New Roman"/>
                <w:sz w:val="22"/>
              </w:rPr>
            </w:pPr>
            <w:r>
              <w:rPr>
                <w:rFonts w:ascii="Times New Roman" w:hAnsi="Times New Roman"/>
                <w:sz w:val="22"/>
              </w:rPr>
              <w:t>12 July 2016</w:t>
            </w:r>
          </w:p>
        </w:tc>
        <w:tc>
          <w:tcPr>
            <w:tcW w:w="2693" w:type="dxa"/>
          </w:tcPr>
          <w:p w:rsidR="0047783A" w:rsidRPr="00E82463" w:rsidRDefault="009401AF" w:rsidP="009401AF">
            <w:pPr>
              <w:jc w:val="both"/>
              <w:rPr>
                <w:rFonts w:ascii="Times New Roman" w:hAnsi="Times New Roman"/>
                <w:sz w:val="22"/>
              </w:rPr>
            </w:pPr>
            <w:r>
              <w:rPr>
                <w:rFonts w:ascii="Times New Roman" w:hAnsi="Times New Roman"/>
                <w:sz w:val="22"/>
              </w:rPr>
              <w:t>10:00</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7783A" w:rsidRPr="00E82463" w:rsidRDefault="009401AF" w:rsidP="0047783A">
            <w:pPr>
              <w:tabs>
                <w:tab w:val="left" w:pos="851"/>
              </w:tabs>
              <w:rPr>
                <w:rFonts w:ascii="Times New Roman" w:hAnsi="Times New Roman"/>
                <w:sz w:val="22"/>
              </w:rPr>
            </w:pPr>
            <w:r>
              <w:rPr>
                <w:rFonts w:ascii="Times New Roman" w:hAnsi="Times New Roman"/>
                <w:sz w:val="22"/>
              </w:rPr>
              <w:t>13 July 2016</w:t>
            </w:r>
          </w:p>
        </w:tc>
        <w:tc>
          <w:tcPr>
            <w:tcW w:w="2693"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r w:rsidR="0047783A" w:rsidRPr="00E82463" w:rsidTr="00E82463">
        <w:tblPrEx>
          <w:tblCellMar>
            <w:top w:w="0" w:type="dxa"/>
            <w:bottom w:w="0" w:type="dxa"/>
          </w:tblCellMar>
        </w:tblPrEx>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9401AF" w:rsidP="0047783A">
            <w:pPr>
              <w:tabs>
                <w:tab w:val="left" w:pos="851"/>
              </w:tabs>
              <w:rPr>
                <w:rFonts w:ascii="Times New Roman" w:hAnsi="Times New Roman"/>
                <w:sz w:val="22"/>
              </w:rPr>
            </w:pPr>
            <w:r>
              <w:rPr>
                <w:rFonts w:ascii="Times New Roman" w:hAnsi="Times New Roman"/>
                <w:sz w:val="22"/>
              </w:rPr>
              <w:t>14 July 2016</w:t>
            </w:r>
          </w:p>
        </w:tc>
        <w:tc>
          <w:tcPr>
            <w:tcW w:w="2693"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rsidR="0047783A" w:rsidRPr="00E82463"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Contracting Authority</w:t>
      </w:r>
      <w:r w:rsidR="00E82463">
        <w:rPr>
          <w:rFonts w:ascii="Times New Roman" w:hAnsi="Times New Roman"/>
          <w:b/>
        </w:rPr>
        <w:t xml:space="preserve"> </w:t>
      </w:r>
      <w:r w:rsidRPr="00E82463">
        <w:rPr>
          <w:rFonts w:ascii="Times New Roman" w:hAnsi="Times New Roman"/>
          <w:b/>
        </w:rPr>
        <w:t>Provisional date</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6" w:name="_Toc42488072"/>
      <w:bookmarkEnd w:id="5"/>
      <w:r w:rsidRPr="00E82463">
        <w:rPr>
          <w:lang w:val="en-GB"/>
        </w:rPr>
        <w:t>Participation</w:t>
      </w:r>
      <w:bookmarkEnd w:id="6"/>
    </w:p>
    <w:p w:rsidR="00123EDC" w:rsidRPr="00E82463" w:rsidRDefault="0047783A" w:rsidP="009401AF">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E82463">
        <w:rPr>
          <w:sz w:val="22"/>
          <w:szCs w:val="22"/>
          <w:lang w:val="en-GB"/>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item 22 below). All goods supplied under this contract must originate in one or more of these countries. Participation is also open to international organisations. Participation of natural persons is directly governed by the specific instruments applicable to the programme under</w:t>
      </w:r>
      <w:r w:rsidR="009401AF">
        <w:rPr>
          <w:sz w:val="22"/>
          <w:szCs w:val="22"/>
          <w:lang w:val="en-GB"/>
        </w:rPr>
        <w:t xml:space="preserve"> which the contract is financed</w:t>
      </w:r>
      <w:r w:rsidR="00123EDC" w:rsidRPr="00E82463">
        <w:rPr>
          <w:sz w:val="22"/>
          <w:szCs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established in the above states. For the purposes of proving compliance with this rule, tenderers being legal persons, must present the documents required under that country’s law. In case of doubt, the Contracting Authority may ask the tenderer to provide evidence demonstrating actual compliance with the "establishment" criteria. For this purpose, legal person have to demonstrate that their legal person is formed under the law of an eligible State and that its </w:t>
      </w:r>
      <w:r w:rsidR="00007DCD" w:rsidRPr="00E82463">
        <w:rPr>
          <w:rFonts w:ascii="Times New Roman" w:hAnsi="Times New Roman"/>
          <w:sz w:val="22"/>
          <w:szCs w:val="22"/>
          <w:lang w:val="en-GB"/>
        </w:rPr>
        <w:t>r</w:t>
      </w:r>
      <w:r w:rsidR="004365AD" w:rsidRPr="00E82463">
        <w:rPr>
          <w:rFonts w:ascii="Times New Roman" w:hAnsi="Times New Roman"/>
          <w:sz w:val="22"/>
          <w:szCs w:val="22"/>
          <w:lang w:val="en-GB"/>
        </w:rPr>
        <w:t>ea</w:t>
      </w:r>
      <w:r w:rsidR="00007DCD" w:rsidRPr="00E82463">
        <w:rPr>
          <w:rFonts w:ascii="Times New Roman" w:hAnsi="Times New Roman"/>
          <w:sz w:val="22"/>
          <w:szCs w:val="22"/>
          <w:lang w:val="en-GB"/>
        </w:rPr>
        <w:t>l</w:t>
      </w:r>
      <w:r w:rsidR="004365AD" w:rsidRPr="00E82463">
        <w:rPr>
          <w:rFonts w:ascii="Times New Roman" w:hAnsi="Times New Roman"/>
          <w:sz w:val="22"/>
          <w:szCs w:val="22"/>
          <w:lang w:val="en-GB"/>
        </w:rPr>
        <w:t xml:space="preserve"> </w:t>
      </w:r>
      <w:r w:rsidR="00007DCD" w:rsidRPr="00E82463">
        <w:rPr>
          <w:rFonts w:ascii="Times New Roman" w:hAnsi="Times New Roman"/>
          <w:sz w:val="22"/>
          <w:szCs w:val="22"/>
          <w:lang w:val="en-GB"/>
        </w:rPr>
        <w:t>seat</w:t>
      </w:r>
      <w:r w:rsidR="004365AD" w:rsidRPr="00E82463">
        <w:rPr>
          <w:rFonts w:ascii="Times New Roman" w:hAnsi="Times New Roman"/>
          <w:sz w:val="22"/>
          <w:szCs w:val="22"/>
          <w:lang w:val="en-GB"/>
        </w:rPr>
        <w:t xml:space="preserve"> is within an eligible State. "</w:t>
      </w:r>
      <w:r w:rsidR="00007DCD" w:rsidRPr="00E82463">
        <w:rPr>
          <w:rFonts w:ascii="Times New Roman" w:hAnsi="Times New Roman"/>
          <w:lang w:val="en-GB"/>
        </w:rPr>
        <w:t xml:space="preserve">Real seat" must be understood as the place where its managing board and </w:t>
      </w:r>
      <w:r w:rsidR="004365AD" w:rsidRPr="00E82463">
        <w:rPr>
          <w:rFonts w:ascii="Times New Roman" w:hAnsi="Times New Roman"/>
          <w:sz w:val="22"/>
          <w:szCs w:val="22"/>
          <w:lang w:val="en-GB"/>
        </w:rPr>
        <w:t xml:space="preserve">its central administration </w:t>
      </w:r>
      <w:r w:rsidR="00007DCD" w:rsidRPr="00E82463">
        <w:rPr>
          <w:rFonts w:ascii="Times New Roman" w:hAnsi="Times New Roman"/>
          <w:sz w:val="22"/>
          <w:szCs w:val="22"/>
          <w:lang w:val="en-GB"/>
        </w:rPr>
        <w:t xml:space="preserve">are located </w:t>
      </w:r>
      <w:r w:rsidR="004365AD" w:rsidRPr="00E82463">
        <w:rPr>
          <w:rFonts w:ascii="Times New Roman" w:hAnsi="Times New Roman"/>
          <w:sz w:val="22"/>
          <w:szCs w:val="22"/>
          <w:lang w:val="en-GB"/>
        </w:rPr>
        <w:t xml:space="preserve">or </w:t>
      </w:r>
      <w:r w:rsidR="00007DCD" w:rsidRPr="00E82463">
        <w:rPr>
          <w:rFonts w:ascii="Times New Roman" w:hAnsi="Times New Roman"/>
          <w:sz w:val="22"/>
          <w:szCs w:val="22"/>
          <w:lang w:val="en-GB"/>
        </w:rPr>
        <w:t xml:space="preserve">its </w:t>
      </w:r>
      <w:r w:rsidR="004365AD" w:rsidRPr="00E82463">
        <w:rPr>
          <w:rFonts w:ascii="Times New Roman" w:hAnsi="Times New Roman"/>
          <w:sz w:val="22"/>
          <w:szCs w:val="22"/>
          <w:lang w:val="en-GB"/>
        </w:rPr>
        <w:t>principal place of business.</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t>These rules apply to:</w:t>
      </w:r>
    </w:p>
    <w:p w:rsidR="0047783A" w:rsidRPr="00E82463" w:rsidRDefault="0047783A" w:rsidP="00E82463">
      <w:pPr>
        <w:numPr>
          <w:ilvl w:val="0"/>
          <w:numId w:val="20"/>
        </w:numPr>
        <w:spacing w:before="60" w:after="0"/>
        <w:ind w:left="992" w:hanging="357"/>
        <w:rPr>
          <w:rFonts w:ascii="Times New Roman" w:hAnsi="Times New Roman"/>
          <w:sz w:val="22"/>
        </w:rPr>
      </w:pPr>
      <w:r w:rsidRPr="00E82463">
        <w:rPr>
          <w:rFonts w:ascii="Times New Roman" w:hAnsi="Times New Roman"/>
          <w:sz w:val="22"/>
        </w:rPr>
        <w:t>tenderers</w:t>
      </w:r>
    </w:p>
    <w:p w:rsidR="0047783A" w:rsidRPr="00E82463" w:rsidRDefault="0047783A" w:rsidP="00E82463">
      <w:pPr>
        <w:numPr>
          <w:ilvl w:val="0"/>
          <w:numId w:val="20"/>
        </w:numPr>
        <w:spacing w:before="60" w:after="0"/>
        <w:ind w:left="992" w:hanging="357"/>
        <w:rPr>
          <w:rFonts w:ascii="Times New Roman" w:hAnsi="Times New Roman"/>
          <w:sz w:val="22"/>
        </w:rPr>
      </w:pPr>
      <w:r w:rsidRPr="00E82463">
        <w:rPr>
          <w:rFonts w:ascii="Times New Roman" w:hAnsi="Times New Roman"/>
          <w:sz w:val="22"/>
        </w:rPr>
        <w:t>members of a consortium</w:t>
      </w:r>
    </w:p>
    <w:p w:rsidR="0047783A" w:rsidRPr="00E82463" w:rsidRDefault="0047783A" w:rsidP="00E82463">
      <w:pPr>
        <w:numPr>
          <w:ilvl w:val="0"/>
          <w:numId w:val="20"/>
        </w:numPr>
        <w:spacing w:before="60"/>
        <w:ind w:left="993"/>
        <w:rPr>
          <w:rFonts w:ascii="Times New Roman" w:hAnsi="Times New Roman"/>
          <w:sz w:val="22"/>
        </w:rPr>
      </w:pPr>
      <w:r w:rsidRPr="00E82463">
        <w:rPr>
          <w:rFonts w:ascii="Times New Roman" w:hAnsi="Times New Roman"/>
          <w:sz w:val="22"/>
        </w:rPr>
        <w:t>any subcontractors.</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t xml:space="preserve">Natural persons, companies or undertakings falling into </w:t>
      </w:r>
      <w:r w:rsidR="00335E06" w:rsidRPr="00E82463">
        <w:rPr>
          <w:rFonts w:ascii="Times New Roman" w:hAnsi="Times New Roman"/>
          <w:sz w:val="22"/>
          <w:lang w:val="en-GB"/>
        </w:rPr>
        <w:t>one of the</w:t>
      </w:r>
      <w:r w:rsidRPr="00E82463">
        <w:rPr>
          <w:rFonts w:ascii="Times New Roman" w:hAnsi="Times New Roman"/>
          <w:sz w:val="22"/>
          <w:lang w:val="en-GB"/>
        </w:rPr>
        <w:t xml:space="preserve"> situation</w:t>
      </w:r>
      <w:r w:rsidR="00335E06" w:rsidRPr="00E82463">
        <w:rPr>
          <w:rFonts w:ascii="Times New Roman" w:hAnsi="Times New Roman"/>
          <w:sz w:val="22"/>
          <w:lang w:val="en-GB"/>
        </w:rPr>
        <w:t>s</w:t>
      </w:r>
      <w:r w:rsidRPr="00E82463">
        <w:rPr>
          <w:rFonts w:ascii="Times New Roman" w:hAnsi="Times New Roman"/>
          <w:sz w:val="22"/>
          <w:lang w:val="en-GB"/>
        </w:rPr>
        <w:t xml:space="preserve"> set out in section 2.3.3 of the Practical Guide are excluded from participation in and the award of contracts. Tenderers must provide declarations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section 2.3.4 of the Practical Guide.</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lastRenderedPageBreak/>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subcontractor</w:t>
      </w:r>
      <w:r w:rsidR="005D72F7" w:rsidRPr="00E82463">
        <w:rPr>
          <w:rFonts w:ascii="Times New Roman" w:hAnsi="Times New Roman"/>
          <w:sz w:val="22"/>
          <w:lang w:val="en-GB"/>
        </w:rPr>
        <w:t>s</w:t>
      </w:r>
      <w:r w:rsidRPr="00E82463">
        <w:rPr>
          <w:rFonts w:ascii="Times New Roman" w:hAnsi="Times New Roman"/>
          <w:sz w:val="22"/>
          <w:lang w:val="en-GB"/>
        </w:rPr>
        <w:t xml:space="preserve">. </w:t>
      </w:r>
      <w:r w:rsidRPr="00E82463">
        <w:rPr>
          <w:rFonts w:ascii="Times New Roman" w:hAnsi="Times New Roman"/>
          <w:sz w:val="22"/>
          <w:szCs w:val="22"/>
          <w:lang w:val="en-GB"/>
        </w:rPr>
        <w:t>When requested by the Contracting Authority,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Contracting Authority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part in this tender procedure, tenderers must prove to the satisfaction of the Contracting Authority that they comply with the necessary legal, technical and financial requirements and have the means to carry out the contract effectively.</w:t>
      </w:r>
    </w:p>
    <w:p w:rsidR="0047783A" w:rsidRPr="00E82463" w:rsidRDefault="0047783A" w:rsidP="0047783A">
      <w:pPr>
        <w:pStyle w:val="Heading2"/>
        <w:keepNext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164F15" w:rsidRPr="00E82463">
        <w:rPr>
          <w:rFonts w:ascii="Times New Roman" w:hAnsi="Times New Roman"/>
          <w:sz w:val="22"/>
          <w:szCs w:val="22"/>
          <w:lang w:val="en-GB"/>
        </w:rPr>
        <w:t>Where</w:t>
      </w:r>
      <w:r w:rsidRPr="00E82463">
        <w:rPr>
          <w:rFonts w:ascii="Times New Roman" w:hAnsi="Times New Roman"/>
          <w:sz w:val="22"/>
          <w:szCs w:val="22"/>
          <w:lang w:val="en-GB"/>
        </w:rPr>
        <w:t xml:space="preserve"> </w:t>
      </w:r>
      <w:r w:rsidR="00164F15" w:rsidRPr="00E82463">
        <w:rPr>
          <w:rFonts w:ascii="Times New Roman" w:hAnsi="Times New Roman"/>
          <w:sz w:val="22"/>
          <w:szCs w:val="22"/>
          <w:lang w:val="en-GB"/>
        </w:rPr>
        <w:t xml:space="preserve">tenders </w:t>
      </w:r>
      <w:r w:rsidRPr="00E82463">
        <w:rPr>
          <w:rFonts w:ascii="Times New Roman" w:hAnsi="Times New Roman"/>
          <w:sz w:val="22"/>
          <w:szCs w:val="22"/>
          <w:lang w:val="en-GB"/>
        </w:rPr>
        <w:t>include subcontracting, it is recommended that the contractual arrangements between tenderer</w:t>
      </w:r>
      <w:r w:rsidR="00164F15" w:rsidRPr="00E82463">
        <w:rPr>
          <w:rFonts w:ascii="Times New Roman" w:hAnsi="Times New Roman"/>
          <w:sz w:val="22"/>
          <w:szCs w:val="22"/>
          <w:lang w:val="en-GB"/>
        </w:rPr>
        <w:t>s</w:t>
      </w:r>
      <w:r w:rsidRPr="00E82463">
        <w:rPr>
          <w:rFonts w:ascii="Times New Roman" w:hAnsi="Times New Roman"/>
          <w:sz w:val="22"/>
          <w:szCs w:val="22"/>
          <w:lang w:val="en-GB"/>
        </w:rPr>
        <w:t xml:space="preserve"> and </w:t>
      </w:r>
      <w:r w:rsidR="00164F15" w:rsidRPr="00E82463">
        <w:rPr>
          <w:rFonts w:ascii="Times New Roman" w:hAnsi="Times New Roman"/>
          <w:sz w:val="22"/>
          <w:szCs w:val="22"/>
          <w:lang w:val="en-GB"/>
        </w:rPr>
        <w:t xml:space="preserve">their </w:t>
      </w:r>
      <w:r w:rsidRPr="00E82463">
        <w:rPr>
          <w:rFonts w:ascii="Times New Roman" w:hAnsi="Times New Roman"/>
          <w:sz w:val="22"/>
          <w:szCs w:val="22"/>
          <w:lang w:val="en-GB"/>
        </w:rPr>
        <w:t>subcontractors include mediation, according to national and international practices, as a method of dispute resolution.</w:t>
      </w:r>
    </w:p>
    <w:p w:rsidR="0047783A" w:rsidRPr="00E82463" w:rsidRDefault="0047783A" w:rsidP="00552278">
      <w:pPr>
        <w:pStyle w:val="StyleHeading1TimesNewRoman14ptItalic"/>
        <w:keepNext w:val="0"/>
        <w:numPr>
          <w:ilvl w:val="0"/>
          <w:numId w:val="2"/>
        </w:numPr>
        <w:tabs>
          <w:tab w:val="clear" w:pos="567"/>
        </w:tabs>
        <w:spacing w:before="120" w:after="120"/>
        <w:rPr>
          <w:lang w:val="en-GB"/>
        </w:rPr>
      </w:pPr>
      <w:bookmarkStart w:id="7" w:name="_Toc42488073"/>
      <w:r w:rsidRPr="00E82463">
        <w:rPr>
          <w:lang w:val="en-GB"/>
        </w:rPr>
        <w:t>Origin</w:t>
      </w:r>
      <w:bookmarkEnd w:id="7"/>
    </w:p>
    <w:p w:rsidR="0047783A" w:rsidRPr="00E82463"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009401AF">
        <w:rPr>
          <w:rFonts w:ascii="Times New Roman" w:hAnsi="Times New Roman"/>
          <w:sz w:val="22"/>
          <w:szCs w:val="22"/>
          <w:lang w:val="en-GB"/>
        </w:rPr>
        <w:t>.</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For more details, see point 2.3.1 </w:t>
      </w:r>
      <w:r w:rsidR="00950813" w:rsidRPr="00E82463">
        <w:rPr>
          <w:rFonts w:ascii="Times New Roman" w:hAnsi="Times New Roman"/>
          <w:sz w:val="22"/>
          <w:szCs w:val="22"/>
          <w:lang w:val="en-GB"/>
        </w:rPr>
        <w:t>Practical Guide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8" w:name="_Toc42488074"/>
      <w:r w:rsidRPr="00E82463">
        <w:rPr>
          <w:lang w:val="en-GB"/>
        </w:rPr>
        <w:t>Type of contract</w:t>
      </w:r>
      <w:bookmarkEnd w:id="8"/>
    </w:p>
    <w:p w:rsidR="0047783A" w:rsidRPr="00E82463" w:rsidRDefault="009401AF" w:rsidP="0047783A">
      <w:pPr>
        <w:pStyle w:val="Heading2"/>
        <w:keepNext w:val="0"/>
        <w:ind w:left="567"/>
        <w:jc w:val="both"/>
        <w:rPr>
          <w:rFonts w:ascii="Times New Roman" w:hAnsi="Times New Roman"/>
          <w:sz w:val="22"/>
          <w:lang w:val="en-GB"/>
        </w:rPr>
      </w:pPr>
      <w:r>
        <w:rPr>
          <w:rFonts w:ascii="Times New Roman" w:hAnsi="Times New Roman"/>
          <w:sz w:val="22"/>
          <w:lang w:val="en-GB"/>
        </w:rPr>
        <w:t>U</w:t>
      </w:r>
      <w:r w:rsidR="0047783A" w:rsidRPr="00E82463">
        <w:rPr>
          <w:rFonts w:ascii="Times New Roman" w:hAnsi="Times New Roman"/>
          <w:sz w:val="22"/>
          <w:lang w:val="en-GB"/>
        </w:rPr>
        <w:t>nit-price.</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9" w:name="_Toc42488075"/>
      <w:r w:rsidRPr="00E82463">
        <w:rPr>
          <w:lang w:val="en-GB"/>
        </w:rPr>
        <w:t>Currency</w:t>
      </w:r>
      <w:bookmarkEnd w:id="9"/>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Tenders must be presented in </w:t>
      </w:r>
      <w:r w:rsidR="009401AF">
        <w:rPr>
          <w:rFonts w:ascii="Times New Roman" w:hAnsi="Times New Roman"/>
          <w:sz w:val="22"/>
          <w:lang w:val="en-GB"/>
        </w:rPr>
        <w:t>E</w:t>
      </w:r>
      <w:r w:rsidRPr="00E82463">
        <w:rPr>
          <w:rFonts w:ascii="Times New Roman" w:hAnsi="Times New Roman"/>
          <w:bCs/>
          <w:sz w:val="22"/>
          <w:lang w:val="en-GB"/>
        </w:rPr>
        <w:t>uro</w:t>
      </w:r>
      <w:r w:rsidR="006A5F84" w:rsidRPr="00E82463">
        <w:rPr>
          <w:rFonts w:ascii="Times New Roman" w:hAnsi="Times New Roman"/>
          <w:b/>
          <w:sz w:val="22"/>
          <w:lang w:val="en-GB"/>
        </w:rPr>
        <w:t>.</w:t>
      </w:r>
      <w:r w:rsidRPr="00E82463">
        <w:rPr>
          <w:rStyle w:val="FootnoteReference"/>
          <w:rFonts w:ascii="Times New Roman" w:hAnsi="Times New Roman"/>
          <w:sz w:val="22"/>
          <w:lang w:val="en-GB"/>
        </w:rPr>
        <w:footnoteReference w:id="3"/>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0" w:name="_Toc42488076"/>
      <w:r w:rsidRPr="00E82463">
        <w:rPr>
          <w:lang w:val="en-GB"/>
        </w:rPr>
        <w:t>Lots</w:t>
      </w:r>
      <w:bookmarkEnd w:id="10"/>
    </w:p>
    <w:p w:rsidR="009401AF" w:rsidRPr="009401AF" w:rsidRDefault="0047783A" w:rsidP="00E82463">
      <w:pPr>
        <w:ind w:left="567"/>
        <w:jc w:val="both"/>
        <w:rPr>
          <w:rFonts w:ascii="Times New Roman" w:hAnsi="Times New Roman"/>
          <w:sz w:val="22"/>
        </w:rPr>
      </w:pPr>
      <w:r w:rsidRPr="009401AF">
        <w:rPr>
          <w:rFonts w:ascii="Times New Roman" w:hAnsi="Times New Roman"/>
          <w:sz w:val="22"/>
        </w:rPr>
        <w:t>This tender proc</w:t>
      </w:r>
      <w:r w:rsidR="009401AF" w:rsidRPr="009401AF">
        <w:rPr>
          <w:rFonts w:ascii="Times New Roman" w:hAnsi="Times New Roman"/>
          <w:sz w:val="22"/>
        </w:rPr>
        <w:t>edure is not divided into lots.</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1" w:name="_Toc42488077"/>
      <w:r w:rsidRPr="00E82463">
        <w:rPr>
          <w:lang w:val="en-GB"/>
        </w:rPr>
        <w:t>Period of validity</w:t>
      </w:r>
      <w:bookmarkEnd w:id="11"/>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w:t>
      </w:r>
      <w:r w:rsidRPr="00E82463">
        <w:rPr>
          <w:rFonts w:ascii="Times New Roman" w:hAnsi="Times New Roman"/>
          <w:sz w:val="22"/>
          <w:lang w:val="en-GB"/>
        </w:rPr>
        <w:lastRenderedPageBreak/>
        <w:t>their tender guarantees for the revised period of validity of the tender. If they refuse, without forfeiture of their tender guarantees, their participation in the tender procedure will be terminated.</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2" w:name="_Ref500330462"/>
      <w:bookmarkStart w:id="13" w:name="_Toc42488078"/>
      <w:r w:rsidRPr="00E82463">
        <w:rPr>
          <w:lang w:val="en-GB"/>
        </w:rPr>
        <w:t xml:space="preserve">Language of </w:t>
      </w:r>
      <w:bookmarkEnd w:id="13"/>
      <w:r w:rsidR="009A3A53" w:rsidRPr="00E82463">
        <w:rPr>
          <w:lang w:val="en-GB"/>
        </w:rPr>
        <w:t>tenders</w:t>
      </w:r>
    </w:p>
    <w:bookmarkEnd w:id="12"/>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all correspondence and documents related to the tender exchanged by the tenderer and the Contracting Authority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4" w:name="_Toc42488079"/>
      <w:r w:rsidRPr="00E82463">
        <w:rPr>
          <w:lang w:val="en-GB"/>
        </w:rPr>
        <w:t>Submission of tenders</w:t>
      </w:r>
      <w:bookmarkEnd w:id="14"/>
    </w:p>
    <w:p w:rsidR="0047783A" w:rsidRPr="00E82463" w:rsidRDefault="0047783A" w:rsidP="0047783A">
      <w:pPr>
        <w:pStyle w:val="Heading2"/>
        <w:keepNext w:val="0"/>
        <w:ind w:left="567" w:hanging="567"/>
        <w:jc w:val="both"/>
        <w:rPr>
          <w:rFonts w:ascii="Times New Roman" w:hAnsi="Times New Roman"/>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sidR="00D62067" w:rsidRPr="00E82463">
        <w:rPr>
          <w:rFonts w:ascii="Times New Roman" w:hAnsi="Times New Roman"/>
          <w:sz w:val="22"/>
          <w:lang w:val="en-GB"/>
        </w:rPr>
        <w:t xml:space="preserve">he Contracting Authority </w:t>
      </w:r>
      <w:r w:rsidRPr="00E82463">
        <w:rPr>
          <w:rFonts w:ascii="Times New Roman" w:hAnsi="Times New Roman"/>
          <w:sz w:val="22"/>
          <w:lang w:val="en-GB"/>
        </w:rPr>
        <w:t>must receive</w:t>
      </w:r>
      <w:r w:rsidR="00D62067" w:rsidRPr="00E82463">
        <w:rPr>
          <w:rFonts w:ascii="Times New Roman" w:hAnsi="Times New Roman"/>
          <w:sz w:val="22"/>
          <w:lang w:val="en-GB"/>
        </w:rPr>
        <w:t xml:space="preserve"> the tenders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5"/>
    <w:p w:rsidR="0047783A" w:rsidRPr="00E82463" w:rsidRDefault="002C1ED8" w:rsidP="00E82463">
      <w:pPr>
        <w:spacing w:before="0"/>
        <w:ind w:left="567"/>
        <w:jc w:val="both"/>
        <w:rPr>
          <w:rFonts w:ascii="Times New Roman" w:hAnsi="Times New Roman"/>
          <w:sz w:val="22"/>
        </w:rPr>
      </w:pPr>
      <w:r w:rsidRPr="002C1ED8">
        <w:rPr>
          <w:rFonts w:ascii="Times New Roman" w:hAnsi="Times New Roman"/>
          <w:sz w:val="22"/>
        </w:rPr>
        <w:t>Community Building Mitrovica, Bulevardi Isa Boletini 11-12 (ex Confidence Area), 40000 Mitrovica, Kosovo</w:t>
      </w:r>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47783A" w:rsidRPr="00E82463" w:rsidRDefault="002C1ED8" w:rsidP="00E82463">
      <w:pPr>
        <w:spacing w:before="0"/>
        <w:ind w:left="567"/>
        <w:jc w:val="both"/>
        <w:rPr>
          <w:rFonts w:ascii="Times New Roman" w:hAnsi="Times New Roman"/>
          <w:sz w:val="22"/>
        </w:rPr>
      </w:pPr>
      <w:r w:rsidRPr="002C1ED8">
        <w:rPr>
          <w:rFonts w:ascii="Times New Roman" w:hAnsi="Times New Roman"/>
          <w:sz w:val="22"/>
        </w:rPr>
        <w:t>Community Building Mitrovica, Bulevardi Isa Boletini 11-12 (ex Confidence Area), 40000 Mitrovica, Kosovo</w:t>
      </w:r>
    </w:p>
    <w:p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rsidR="0047783A" w:rsidRPr="00E82463" w:rsidRDefault="0047783A" w:rsidP="0047783A">
      <w:pPr>
        <w:pStyle w:val="Heading2"/>
        <w:ind w:left="567" w:hanging="567"/>
        <w:jc w:val="both"/>
        <w:rPr>
          <w:rFonts w:ascii="Times New Roman" w:hAnsi="Times New Roman"/>
          <w:lang w:val="en-GB"/>
        </w:rPr>
      </w:pPr>
      <w:bookmarkStart w:id="16"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2C1ED8">
        <w:rPr>
          <w:rFonts w:ascii="Times New Roman" w:hAnsi="Times New Roman"/>
          <w:sz w:val="22"/>
          <w:lang w:val="en-GB"/>
        </w:rPr>
        <w:t>2</w:t>
      </w:r>
      <w:r w:rsidRPr="00E82463">
        <w:rPr>
          <w:rFonts w:ascii="Times New Roman" w:hAnsi="Times New Roman"/>
          <w:sz w:val="22"/>
          <w:lang w:val="en-GB"/>
        </w:rPr>
        <w:t xml:space="preserve"> 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p>
    <w:bookmarkEnd w:id="16"/>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received at </w:t>
      </w:r>
      <w:r w:rsidR="002C1ED8">
        <w:rPr>
          <w:rFonts w:ascii="Times New Roman" w:hAnsi="Times New Roman"/>
          <w:sz w:val="22"/>
          <w:lang w:val="en-GB"/>
        </w:rPr>
        <w:t xml:space="preserve">the CBM premises (Address: </w:t>
      </w:r>
      <w:r w:rsidR="002C1ED8" w:rsidRPr="002C1ED8">
        <w:rPr>
          <w:rFonts w:ascii="Times New Roman" w:hAnsi="Times New Roman"/>
          <w:sz w:val="22"/>
          <w:lang w:val="en-GB"/>
        </w:rPr>
        <w:t>Community Building Mitrovica, Bulevardi Isa Boletini 11-12 (ex Confidence Area), 40000 Mitrovica, Kosovo</w:t>
      </w:r>
      <w:r w:rsidR="002C1ED8">
        <w:rPr>
          <w:rFonts w:ascii="Times New Roman" w:hAnsi="Times New Roman"/>
          <w:sz w:val="22"/>
          <w:lang w:val="en-GB"/>
        </w:rPr>
        <w:t>)</w:t>
      </w:r>
      <w:r w:rsidRPr="00E82463">
        <w:rPr>
          <w:rFonts w:ascii="Times New Roman" w:hAnsi="Times New Roman"/>
          <w:sz w:val="22"/>
          <w:lang w:val="en-GB"/>
        </w:rPr>
        <w:t xml:space="preserve"> before the deadline date and time, </w:t>
      </w:r>
      <w:r w:rsidR="002C1ED8">
        <w:rPr>
          <w:rFonts w:ascii="Times New Roman" w:hAnsi="Times New Roman"/>
          <w:sz w:val="22"/>
          <w:lang w:val="en-GB"/>
        </w:rPr>
        <w:t>11 July 2016 until 16:00 hours</w:t>
      </w:r>
      <w:r w:rsidRPr="00E82463">
        <w:rPr>
          <w:rFonts w:ascii="Times New Roman" w:hAnsi="Times New Roman"/>
          <w:sz w:val="22"/>
          <w:lang w:val="en-GB"/>
        </w:rPr>
        <w:t>, by registered letter with acknowledgement of receipt or hand-delivered against receipt signed by its representative.</w:t>
      </w:r>
    </w:p>
    <w:p w:rsidR="0047783A" w:rsidRPr="00E82463" w:rsidRDefault="0047783A" w:rsidP="0047783A">
      <w:pPr>
        <w:pStyle w:val="Heading2"/>
        <w:ind w:left="567" w:hanging="567"/>
        <w:rPr>
          <w:rFonts w:ascii="Times New Roman" w:hAnsi="Times New Roman"/>
          <w:sz w:val="22"/>
          <w:lang w:val="en-GB"/>
        </w:rPr>
      </w:pPr>
      <w:r w:rsidRPr="00E82463">
        <w:rPr>
          <w:rFonts w:ascii="Times New Roman" w:hAnsi="Times New Roman"/>
          <w:sz w:val="22"/>
          <w:lang w:val="en-GB"/>
        </w:rPr>
        <w:t>10.4</w:t>
      </w:r>
      <w:r w:rsidRPr="00E82463">
        <w:rPr>
          <w:rFonts w:ascii="Times New Roman" w:hAnsi="Times New Roman"/>
          <w:sz w:val="22"/>
          <w:lang w:val="en-GB"/>
        </w:rPr>
        <w:tab/>
        <w:t>All tenders, including annexes and all supporting documents, must be submitted in a sealed envelope bearing only:</w:t>
      </w:r>
    </w:p>
    <w:p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(i.e. &lt;publication reference&gt;);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w:t>
      </w:r>
      <w:r w:rsidR="002C1ED8">
        <w:rPr>
          <w:rFonts w:ascii="Times New Roman" w:hAnsi="Times New Roman"/>
          <w:sz w:val="22"/>
        </w:rPr>
        <w:t xml:space="preserve">guage of the tender dossier </w:t>
      </w:r>
      <w:r w:rsidR="002C1ED8" w:rsidRPr="002C1ED8">
        <w:rPr>
          <w:rFonts w:ascii="Times New Roman" w:hAnsi="Times New Roman"/>
          <w:sz w:val="22"/>
        </w:rPr>
        <w:t xml:space="preserve">“Mos i hapni para takimit për hapje” </w:t>
      </w:r>
      <w:r w:rsidR="002C1ED8">
        <w:rPr>
          <w:rFonts w:ascii="Times New Roman" w:hAnsi="Times New Roman"/>
          <w:sz w:val="22"/>
        </w:rPr>
        <w:t xml:space="preserve">, and </w:t>
      </w:r>
      <w:r w:rsidR="002C1ED8" w:rsidRPr="002C1ED8">
        <w:rPr>
          <w:rFonts w:ascii="Times New Roman" w:hAnsi="Times New Roman"/>
          <w:sz w:val="22"/>
        </w:rPr>
        <w:t>“Ne otvarati pre sa</w:t>
      </w:r>
      <w:r w:rsidR="002C1ED8">
        <w:rPr>
          <w:rFonts w:ascii="Times New Roman" w:hAnsi="Times New Roman"/>
          <w:sz w:val="22"/>
        </w:rPr>
        <w:t>stanka za otvaranje ponuda”</w:t>
      </w:r>
      <w:r w:rsidRPr="00E82463">
        <w:rPr>
          <w:rFonts w:ascii="Times New Roman" w:hAnsi="Times New Roman"/>
          <w:sz w:val="22"/>
        </w:rPr>
        <w: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lastRenderedPageBreak/>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7" w:name="_Toc42488080"/>
      <w:r w:rsidRPr="00E82463">
        <w:rPr>
          <w:lang w:val="en-GB"/>
        </w:rPr>
        <w:t>Content of tenders</w:t>
      </w:r>
      <w:bookmarkEnd w:id="17"/>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All tenders submitted must comply with the requirements in the tender dossier and comprise:</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FD52F6" w:rsidRDefault="00FD52F6" w:rsidP="00FD52F6">
      <w:pPr>
        <w:pStyle w:val="Heading2"/>
        <w:keepNext w:val="0"/>
        <w:spacing w:before="0" w:after="0"/>
        <w:ind w:left="630"/>
        <w:rPr>
          <w:rFonts w:ascii="Times New Roman" w:hAnsi="Times New Roman"/>
          <w:sz w:val="22"/>
          <w:szCs w:val="22"/>
        </w:rPr>
      </w:pPr>
      <w:r>
        <w:rPr>
          <w:rFonts w:ascii="Times New Roman" w:hAnsi="Times New Roman"/>
          <w:sz w:val="22"/>
          <w:szCs w:val="22"/>
          <w:lang w:val="en-GB"/>
        </w:rPr>
        <w:t>A</w:t>
      </w:r>
      <w:r w:rsidR="0047783A" w:rsidRPr="00FD52F6">
        <w:rPr>
          <w:rFonts w:ascii="Times New Roman" w:hAnsi="Times New Roman"/>
          <w:sz w:val="22"/>
          <w:szCs w:val="22"/>
          <w:lang w:val="en-GB"/>
        </w:rPr>
        <w:t xml:space="preserve"> detailed description of the supplies tendered in conformity with the technical specifications, including any documentation required</w:t>
      </w:r>
      <w:r w:rsidRPr="00FD52F6">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47783A" w:rsidRPr="00FD52F6" w:rsidRDefault="0047783A" w:rsidP="0047783A">
      <w:pPr>
        <w:pStyle w:val="Heading2"/>
        <w:keepNext w:val="0"/>
        <w:numPr>
          <w:ilvl w:val="1"/>
          <w:numId w:val="10"/>
        </w:numPr>
        <w:tabs>
          <w:tab w:val="num" w:pos="1134"/>
        </w:tabs>
        <w:spacing w:before="0" w:after="0"/>
        <w:ind w:hanging="306"/>
        <w:rPr>
          <w:rFonts w:ascii="Times New Roman" w:hAnsi="Times New Roman"/>
          <w:sz w:val="22"/>
          <w:szCs w:val="22"/>
        </w:rPr>
      </w:pPr>
      <w:r w:rsidRPr="00FD52F6">
        <w:rPr>
          <w:rFonts w:ascii="Times New Roman" w:hAnsi="Times New Roman"/>
          <w:sz w:val="22"/>
          <w:szCs w:val="22"/>
          <w:lang w:val="en-GB"/>
        </w:rPr>
        <w:t xml:space="preserve">A financial offer calculated on </w:t>
      </w:r>
      <w:r w:rsidR="00FD52F6" w:rsidRPr="00FD52F6">
        <w:rPr>
          <w:rFonts w:ascii="Times New Roman" w:hAnsi="Times New Roman"/>
          <w:sz w:val="22"/>
          <w:szCs w:val="22"/>
          <w:lang w:val="en-GB"/>
        </w:rPr>
        <w:t>a DAP</w:t>
      </w:r>
      <w:r w:rsidRPr="00E82463">
        <w:rPr>
          <w:rStyle w:val="FootnoteReference"/>
          <w:rFonts w:ascii="Times New Roman" w:hAnsi="Times New Roman"/>
        </w:rPr>
        <w:footnoteReference w:id="4"/>
      </w:r>
      <w:r w:rsidRPr="00FD52F6">
        <w:rPr>
          <w:rFonts w:ascii="Times New Roman" w:hAnsi="Times New Roman"/>
          <w:sz w:val="22"/>
          <w:szCs w:val="22"/>
          <w:lang w:val="en-GB"/>
        </w:rPr>
        <w:t xml:space="preserve"> </w:t>
      </w:r>
      <w:r w:rsidR="000665DF" w:rsidRPr="00FD52F6">
        <w:rPr>
          <w:rFonts w:ascii="Times New Roman" w:hAnsi="Times New Roman"/>
          <w:sz w:val="22"/>
          <w:szCs w:val="22"/>
          <w:lang w:val="en-GB"/>
        </w:rPr>
        <w:t xml:space="preserve">basis </w:t>
      </w:r>
      <w:r w:rsidRPr="00FD52F6">
        <w:rPr>
          <w:rFonts w:ascii="Times New Roman" w:hAnsi="Times New Roman"/>
          <w:sz w:val="22"/>
          <w:szCs w:val="22"/>
          <w:lang w:val="en-GB"/>
        </w:rPr>
        <w:t>for the supplies tendered</w:t>
      </w:r>
      <w:r w:rsidRPr="00FD52F6">
        <w:rPr>
          <w:rFonts w:ascii="Times New Roman" w:hAnsi="Times New Roman"/>
          <w:sz w:val="22"/>
          <w:szCs w:val="22"/>
        </w:rPr>
        <w:t>.</w:t>
      </w:r>
    </w:p>
    <w:p w:rsidR="0047783A" w:rsidRDefault="0047783A" w:rsidP="00FD52F6">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FD52F6" w:rsidRPr="00E82463" w:rsidRDefault="00FD52F6" w:rsidP="00FD52F6">
      <w:pPr>
        <w:spacing w:after="0"/>
        <w:ind w:left="567"/>
        <w:rPr>
          <w:rFonts w:ascii="Times New Roman" w:hAnsi="Times New Roman"/>
          <w:sz w:val="22"/>
          <w:szCs w:val="22"/>
        </w:rPr>
      </w:pPr>
    </w:p>
    <w:p w:rsidR="0047783A" w:rsidRPr="00E82463" w:rsidRDefault="0047783A" w:rsidP="0047783A">
      <w:pPr>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C07D4">
      <w:pPr>
        <w:numPr>
          <w:ilvl w:val="0"/>
          <w:numId w:val="6"/>
        </w:numPr>
        <w:tabs>
          <w:tab w:val="clear" w:pos="1211"/>
          <w:tab w:val="num" w:pos="1134"/>
        </w:tabs>
        <w:spacing w:after="0"/>
        <w:ind w:left="1134" w:hanging="567"/>
        <w:jc w:val="both"/>
        <w:rPr>
          <w:rFonts w:ascii="Times New Roman" w:hAnsi="Times New Roman"/>
          <w:sz w:val="22"/>
          <w:szCs w:val="22"/>
        </w:rPr>
      </w:pPr>
      <w:r w:rsidRPr="00E82463">
        <w:rPr>
          <w:rFonts w:ascii="Times New Roman" w:hAnsi="Times New Roman"/>
          <w:sz w:val="22"/>
          <w:szCs w:val="22"/>
        </w:rPr>
        <w:t xml:space="preserve">The tender guarantee, for </w:t>
      </w:r>
      <w:r w:rsidR="00FD52F6">
        <w:rPr>
          <w:rFonts w:ascii="Times New Roman" w:hAnsi="Times New Roman"/>
          <w:sz w:val="22"/>
          <w:szCs w:val="22"/>
        </w:rPr>
        <w:t>2 years</w:t>
      </w:r>
      <w:r w:rsidRPr="00E82463">
        <w:rPr>
          <w:rFonts w:ascii="Times New Roman" w:hAnsi="Times New Roman"/>
          <w:sz w:val="22"/>
          <w:szCs w:val="22"/>
        </w:rPr>
        <w:t>;</w:t>
      </w:r>
    </w:p>
    <w:p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6A5F84" w:rsidRPr="00E82463">
        <w:rPr>
          <w:rFonts w:ascii="Times New Roman" w:hAnsi="Times New Roman"/>
          <w:sz w:val="22"/>
          <w:szCs w:val="22"/>
        </w:rPr>
        <w:t>‘</w:t>
      </w:r>
      <w:r w:rsidRPr="00E82463">
        <w:rPr>
          <w:rFonts w:ascii="Times New Roman" w:hAnsi="Times New Roman"/>
          <w:sz w:val="22"/>
          <w:szCs w:val="22"/>
        </w:rPr>
        <w:t>Tender Form for a Supply Contract</w:t>
      </w:r>
      <w:r w:rsidR="006A5F84" w:rsidRPr="00E82463">
        <w:rPr>
          <w:rFonts w:ascii="Times New Roman" w:hAnsi="Times New Roman"/>
          <w:sz w:val="22"/>
          <w:szCs w:val="22"/>
        </w:rPr>
        <w:t>’</w:t>
      </w:r>
      <w:r w:rsidRPr="00E82463">
        <w:rPr>
          <w:rFonts w:ascii="Times New Roman" w:hAnsi="Times New Roman"/>
          <w:sz w:val="22"/>
          <w:szCs w:val="22"/>
        </w:rPr>
        <w:t>, 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47783A" w:rsidRPr="00E82463" w:rsidRDefault="0047783A" w:rsidP="0047783A">
      <w:pPr>
        <w:numPr>
          <w:ilvl w:val="0"/>
          <w:numId w:val="6"/>
        </w:numPr>
        <w:tabs>
          <w:tab w:val="clear" w:pos="1211"/>
          <w:tab w:val="num" w:pos="1134"/>
        </w:tabs>
        <w:spacing w:before="0" w:after="240"/>
        <w:ind w:left="1134" w:hanging="567"/>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Pr="00E82463">
        <w:rPr>
          <w:rFonts w:ascii="Times New Roman" w:hAnsi="Times New Roman"/>
        </w:rPr>
        <w:t xml:space="preserve"> (</w:t>
      </w:r>
      <w:r w:rsidR="002D0CE1" w:rsidRPr="00E82463">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AC07D4">
      <w:pPr>
        <w:numPr>
          <w:ilvl w:val="0"/>
          <w:numId w:val="6"/>
        </w:numPr>
        <w:tabs>
          <w:tab w:val="clear" w:pos="1211"/>
          <w:tab w:val="num" w:pos="1134"/>
        </w:tabs>
        <w:ind w:left="1135" w:hanging="568"/>
        <w:jc w:val="both"/>
        <w:rPr>
          <w:rFonts w:ascii="Times New Roman" w:hAnsi="Times New Roman"/>
          <w:sz w:val="22"/>
          <w:szCs w:val="22"/>
        </w:rPr>
      </w:pPr>
      <w:r w:rsidRPr="00E82463">
        <w:rPr>
          <w:rFonts w:ascii="Times New Roman" w:hAnsi="Times New Roman"/>
          <w:sz w:val="22"/>
          <w:szCs w:val="22"/>
        </w:rPr>
        <w:t>The legal entity file and the supporting documents (</w:t>
      </w:r>
      <w:r w:rsidR="002D0CE1" w:rsidRPr="00E82463">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description of the warranty conditions, which must be in accordance with the conditions laid down in Article 32 of the General Conditions</w:t>
      </w:r>
      <w:r w:rsidRPr="00E82463">
        <w:rPr>
          <w:rFonts w:ascii="Times New Roman" w:hAnsi="Times New Roman"/>
          <w:color w:val="339966"/>
          <w:sz w:val="22"/>
          <w:szCs w:val="22"/>
          <w:u w:val="single"/>
        </w:rPr>
        <w: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47783A" w:rsidRPr="00E82463" w:rsidRDefault="0047783A" w:rsidP="00FD52F6">
      <w:pPr>
        <w:spacing w:after="0"/>
        <w:ind w:firstLine="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Pr="00E82463">
          <w:rPr>
            <w:rStyle w:val="Hyperlink"/>
            <w:rFonts w:ascii="Times New Roman" w:hAnsi="Times New Roman"/>
            <w:snapToGrid/>
            <w:sz w:val="22"/>
            <w:szCs w:val="22"/>
            <w:lang w:eastAsia="en-GB"/>
          </w:rPr>
          <w:t>http://ec.europa.eu/europeaid/work/procedures/index_en.htm</w:t>
        </w:r>
      </w:hyperlink>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8" w:name="_Toc42488081"/>
      <w:r w:rsidRPr="00E82463">
        <w:rPr>
          <w:lang w:val="en-GB"/>
        </w:rPr>
        <w:lastRenderedPageBreak/>
        <w:t>Taxes and other charges</w:t>
      </w:r>
      <w:bookmarkEnd w:id="18"/>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CC0A7C" w:rsidP="00AC07D4">
      <w:pPr>
        <w:pStyle w:val="Heading2"/>
        <w:keepNext w:val="0"/>
        <w:tabs>
          <w:tab w:val="num" w:pos="567"/>
        </w:tabs>
        <w:spacing w:before="0" w:after="0"/>
        <w:ind w:left="567"/>
        <w:jc w:val="both"/>
        <w:rPr>
          <w:rFonts w:ascii="Times New Roman" w:hAnsi="Times New Roman"/>
          <w:sz w:val="22"/>
          <w:lang w:val="en-GB"/>
        </w:rPr>
      </w:pPr>
      <w:r w:rsidRPr="00CC0A7C">
        <w:rPr>
          <w:rFonts w:ascii="Times New Roman" w:hAnsi="Times New Roman"/>
          <w:sz w:val="22"/>
          <w:lang w:val="en-GB"/>
        </w:rPr>
        <w:t>The European Commission and Republic of Kosovo have agreed in IPA Agreement to fully exonerate the following taxes: Personal Income Tax, Corporate Income Tax, VAT and Pension Saving Contribution.</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19" w:name="_Toc42488082"/>
      <w:r w:rsidRPr="00E82463">
        <w:rPr>
          <w:lang w:val="en-GB"/>
        </w:rPr>
        <w:t>Additional information before the deadline for submission of tenders</w:t>
      </w:r>
      <w:bookmarkEnd w:id="19"/>
    </w:p>
    <w:p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w:t>
      </w:r>
      <w:r w:rsidR="00CC0A7C">
        <w:rPr>
          <w:rFonts w:ascii="Times New Roman" w:hAnsi="Times New Roman"/>
          <w:sz w:val="22"/>
        </w:rPr>
        <w:t>5</w:t>
      </w:r>
      <w:r w:rsidRPr="00E82463">
        <w:rPr>
          <w:rFonts w:ascii="Times New Roman" w:hAnsi="Times New Roman"/>
          <w:sz w:val="22"/>
        </w:rPr>
        <w:t xml:space="preserve">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CC0A7C" w:rsidRPr="00CC0A7C" w:rsidRDefault="00CC0A7C" w:rsidP="00CC0A7C">
      <w:pPr>
        <w:pStyle w:val="BodyText"/>
        <w:spacing w:before="0"/>
        <w:ind w:left="567"/>
        <w:rPr>
          <w:rFonts w:ascii="Times New Roman" w:hAnsi="Times New Roman"/>
          <w:sz w:val="22"/>
        </w:rPr>
      </w:pPr>
      <w:r w:rsidRPr="00CC0A7C">
        <w:rPr>
          <w:rFonts w:ascii="Times New Roman" w:hAnsi="Times New Roman"/>
          <w:sz w:val="22"/>
        </w:rPr>
        <w:t xml:space="preserve">Ms. Aferdita Sylaj </w:t>
      </w:r>
    </w:p>
    <w:p w:rsidR="00CC0A7C" w:rsidRPr="00CC0A7C" w:rsidRDefault="00CC0A7C" w:rsidP="00CC0A7C">
      <w:pPr>
        <w:pStyle w:val="BodyText"/>
        <w:spacing w:before="0"/>
        <w:ind w:left="567"/>
        <w:rPr>
          <w:rFonts w:ascii="Times New Roman" w:hAnsi="Times New Roman"/>
          <w:sz w:val="22"/>
        </w:rPr>
      </w:pPr>
      <w:r w:rsidRPr="00CC0A7C">
        <w:rPr>
          <w:rFonts w:ascii="Times New Roman" w:hAnsi="Times New Roman"/>
          <w:sz w:val="22"/>
        </w:rPr>
        <w:t xml:space="preserve">Address: Community Building Mitrovica, Bulevardi Isa Boletini 11-12 (ex Confidence Area), 40000 Mitrovica, Kosovo </w:t>
      </w:r>
    </w:p>
    <w:p w:rsidR="0047783A" w:rsidRPr="00E82463" w:rsidRDefault="00CC0A7C" w:rsidP="00CC0A7C">
      <w:pPr>
        <w:pStyle w:val="BodyText"/>
        <w:spacing w:before="0"/>
        <w:ind w:left="567"/>
        <w:rPr>
          <w:rFonts w:ascii="Times New Roman" w:hAnsi="Times New Roman"/>
        </w:rPr>
      </w:pPr>
      <w:r w:rsidRPr="00CC0A7C">
        <w:rPr>
          <w:rFonts w:ascii="Times New Roman" w:hAnsi="Times New Roman"/>
          <w:sz w:val="22"/>
        </w:rPr>
        <w:t xml:space="preserve">E-mail: </w:t>
      </w:r>
      <w:hyperlink r:id="rId10" w:history="1">
        <w:r w:rsidRPr="00A24471">
          <w:rPr>
            <w:rStyle w:val="Hyperlink"/>
            <w:rFonts w:ascii="Times New Roman" w:hAnsi="Times New Roman"/>
            <w:sz w:val="22"/>
          </w:rPr>
          <w:t>aferdita.syla@cbmitrovica.org</w:t>
        </w:r>
      </w:hyperlink>
      <w:r>
        <w:rPr>
          <w:rFonts w:ascii="Times New Roman" w:hAnsi="Times New Roman"/>
          <w:sz w:val="22"/>
        </w:rPr>
        <w:t xml:space="preserve"> </w:t>
      </w:r>
    </w:p>
    <w:p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The Contracting Authority has no obligation to provide clarifications after this date.</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0" w:name="_Toc42488083"/>
      <w:r w:rsidRPr="00E82463">
        <w:rPr>
          <w:lang w:val="en-GB"/>
        </w:rPr>
        <w:t>Clarification meeting / site visit</w:t>
      </w:r>
      <w:bookmarkEnd w:id="20"/>
    </w:p>
    <w:p w:rsidR="0047783A" w:rsidRPr="00B67E67" w:rsidRDefault="0047783A" w:rsidP="00AC07D4">
      <w:pPr>
        <w:pStyle w:val="BodyText"/>
        <w:ind w:left="567" w:hanging="567"/>
        <w:rPr>
          <w:rFonts w:ascii="Times New Roman" w:hAnsi="Times New Roman"/>
          <w:sz w:val="22"/>
          <w:szCs w:val="22"/>
        </w:rPr>
      </w:pPr>
      <w:r w:rsidRPr="00B67E67">
        <w:rPr>
          <w:rFonts w:ascii="Times New Roman" w:hAnsi="Times New Roman"/>
          <w:sz w:val="22"/>
          <w:szCs w:val="22"/>
        </w:rPr>
        <w:t>14.1</w:t>
      </w:r>
      <w:r w:rsidRPr="00B67E67">
        <w:rPr>
          <w:rFonts w:ascii="Times New Roman" w:hAnsi="Times New Roman"/>
          <w:sz w:val="22"/>
          <w:szCs w:val="22"/>
        </w:rPr>
        <w:tab/>
        <w:t xml:space="preserve">No clarification meeting / site visit planned. Visits by individual prospective tenderers during the tender period cannot be organised. </w:t>
      </w:r>
    </w:p>
    <w:p w:rsidR="0047783A" w:rsidRPr="00E82463" w:rsidRDefault="0047783A" w:rsidP="0047783A">
      <w:pPr>
        <w:pStyle w:val="StyleHeading1TimesNewRoman14ptItalic"/>
        <w:keepLines/>
        <w:numPr>
          <w:ilvl w:val="0"/>
          <w:numId w:val="2"/>
        </w:numPr>
        <w:tabs>
          <w:tab w:val="clear" w:pos="567"/>
        </w:tabs>
        <w:spacing w:before="120" w:after="120"/>
        <w:rPr>
          <w:lang w:val="en-GB"/>
        </w:rPr>
      </w:pPr>
      <w:bookmarkStart w:id="21" w:name="_Toc42488084"/>
      <w:r w:rsidRPr="00E82463">
        <w:rPr>
          <w:lang w:val="en-GB"/>
        </w:rPr>
        <w:t>Alteration or withdrawal of tenders</w:t>
      </w:r>
      <w:bookmarkEnd w:id="21"/>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2" w:name="_Toc42488085"/>
      <w:r w:rsidRPr="00E82463">
        <w:rPr>
          <w:lang w:val="en-GB"/>
        </w:rPr>
        <w:t>Costs of preparing tenders</w:t>
      </w:r>
      <w:bookmarkEnd w:id="22"/>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3" w:name="_Toc42488086"/>
      <w:r w:rsidRPr="00E82463">
        <w:rPr>
          <w:lang w:val="en-GB"/>
        </w:rPr>
        <w:t>Ownership of tenders</w:t>
      </w:r>
      <w:bookmarkEnd w:id="23"/>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The Contracting Authority retains ownership of all tenders received under this tender procedure. Consequently, tenderers have no right to have their tenders returned to them.</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4" w:name="_Toc42488087"/>
      <w:r w:rsidRPr="00E82463">
        <w:rPr>
          <w:lang w:val="en-GB"/>
        </w:rPr>
        <w:lastRenderedPageBreak/>
        <w:t>Joint venture or consortium</w:t>
      </w:r>
      <w:bookmarkEnd w:id="24"/>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consent of the Contracting Authority.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5" w:name="_Toc42488088"/>
      <w:r w:rsidRPr="00E82463">
        <w:rPr>
          <w:lang w:val="en-GB"/>
        </w:rPr>
        <w:t>Opening of tenders</w:t>
      </w:r>
      <w:bookmarkEnd w:id="25"/>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B67E67">
        <w:rPr>
          <w:rFonts w:ascii="Times New Roman" w:hAnsi="Times New Roman"/>
          <w:sz w:val="22"/>
          <w:lang w:val="en-GB"/>
        </w:rPr>
        <w:t>12 July 2016</w:t>
      </w:r>
      <w:r w:rsidRPr="00E82463">
        <w:rPr>
          <w:rFonts w:ascii="Times New Roman" w:hAnsi="Times New Roman"/>
          <w:sz w:val="22"/>
          <w:lang w:val="en-GB"/>
        </w:rPr>
        <w:t xml:space="preserve"> at </w:t>
      </w:r>
      <w:r w:rsidR="00B67E67" w:rsidRPr="00CC0A7C">
        <w:rPr>
          <w:rFonts w:ascii="Times New Roman" w:hAnsi="Times New Roman"/>
          <w:sz w:val="22"/>
        </w:rPr>
        <w:t>Community Building Mitrovica, Bulevardi Isa Boletini 11-12 (ex Confidence Area), 40000 Mitrovica, Kosovo</w:t>
      </w:r>
      <w:r w:rsidR="00B67E67">
        <w:rPr>
          <w:rFonts w:ascii="Times New Roman" w:hAnsi="Times New Roman"/>
          <w:sz w:val="22"/>
        </w:rPr>
        <w:t>,</w:t>
      </w:r>
      <w:r w:rsidRPr="00E82463">
        <w:rPr>
          <w:rFonts w:ascii="Times New Roman" w:hAnsi="Times New Roman"/>
          <w:sz w:val="22"/>
          <w:lang w:val="en-GB"/>
        </w:rPr>
        <w:t xml:space="preserve"> by the committee appointed for the purpose. The committee will draw up minutes of the meeting, which will be available on request.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Contracting Authority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Contracting Authority. The associated guarantees will be returned to the tenderers. No liability can be accepted for late delivery of tenders. Late tenders will be rejected and will not be evaluated.</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6" w:name="_Toc42488089"/>
      <w:r w:rsidRPr="00E82463">
        <w:rPr>
          <w:lang w:val="en-GB"/>
        </w:rPr>
        <w:t>Evaluation of tenders</w:t>
      </w:r>
      <w:bookmarkEnd w:id="26"/>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lastRenderedPageBreak/>
        <w:t>Substantial departures or restrictions are those which affect the scope, quality or execution of the contract, differ widely from the terms of the tender dossier, limit the rights of the Contracting Authority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171C45" w:rsidRPr="00E82463">
        <w:rPr>
          <w:rFonts w:ascii="Times New Roman" w:hAnsi="Times New Roman"/>
          <w:sz w:val="22"/>
          <w:szCs w:val="22"/>
          <w:lang w:val="en-GB"/>
        </w:rPr>
        <w:t>Contract notice</w:t>
      </w:r>
      <w:r w:rsidRPr="00E82463">
        <w:rPr>
          <w:rFonts w:ascii="Times New Roman" w:hAnsi="Times New Roman"/>
          <w:sz w:val="22"/>
          <w:szCs w:val="22"/>
          <w:lang w:val="en-GB"/>
        </w:rPr>
        <w:t xml:space="preserve"> point 16) are to be evaluated at the start of this stage.</w:t>
      </w:r>
    </w:p>
    <w:bookmarkEnd w:id="27"/>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0E291F" w:rsidRPr="00B67E67" w:rsidRDefault="000E291F" w:rsidP="0047783A">
      <w:pPr>
        <w:ind w:left="567"/>
        <w:jc w:val="both"/>
        <w:rPr>
          <w:rFonts w:ascii="Times New Roman" w:hAnsi="Times New Roman"/>
          <w:sz w:val="22"/>
        </w:rPr>
      </w:pPr>
      <w:r w:rsidRPr="00B67E67">
        <w:rPr>
          <w:rFonts w:ascii="Times New Roman" w:hAnsi="Times New Roman"/>
          <w:sz w:val="22"/>
        </w:rPr>
        <w:t>Variant solutions will be taken into consideration only if the variant solution has a price equal or below the price of the original tender of the selected tenderer.</w:t>
      </w:r>
    </w:p>
    <w:p w:rsidR="000E291F" w:rsidRPr="00B67E67" w:rsidRDefault="000E291F" w:rsidP="000E291F">
      <w:pPr>
        <w:ind w:left="567"/>
        <w:jc w:val="both"/>
        <w:rPr>
          <w:rFonts w:ascii="Times New Roman" w:hAnsi="Times New Roman"/>
          <w:b/>
          <w:sz w:val="22"/>
        </w:rPr>
      </w:pPr>
      <w:r w:rsidRPr="00B67E67">
        <w:rPr>
          <w:rFonts w:ascii="Times New Roman" w:hAnsi="Times New Roman"/>
          <w:sz w:val="22"/>
        </w:rPr>
        <w:t xml:space="preserve">Tenderers must submit tenders in accordance with the requirements of the tender dossier. If the invitation to tender provides for variants to be submitted, the technical specifications must specify the subject, limits and basic conditions applicable. If tenderers wish to submit variant technical proposals, they may do so. </w:t>
      </w:r>
      <w:r w:rsidRPr="00B67E67">
        <w:rPr>
          <w:rFonts w:ascii="Times New Roman" w:hAnsi="Times New Roman"/>
          <w:b/>
          <w:sz w:val="22"/>
        </w:rPr>
        <w:t>Only variants proposed by the selected tenderer will be considered by the Contracting Authority.</w:t>
      </w:r>
    </w:p>
    <w:p w:rsidR="000E291F" w:rsidRPr="00B67E67" w:rsidRDefault="000E291F" w:rsidP="000E291F">
      <w:pPr>
        <w:ind w:left="567"/>
        <w:jc w:val="both"/>
        <w:rPr>
          <w:rFonts w:ascii="Times New Roman" w:hAnsi="Times New Roman"/>
        </w:rPr>
      </w:pPr>
      <w:r w:rsidRPr="00B67E67">
        <w:rPr>
          <w:rFonts w:ascii="Times New Roman" w:hAnsi="Times New Roman"/>
          <w:sz w:val="22"/>
        </w:rPr>
        <w:t>Variant solutions must include all the details necessary for their full evaluation, including the proposed drawings, design calculations, technical specifications, price schedule and methods. Any variant solution must comprise:</w:t>
      </w:r>
    </w:p>
    <w:p w:rsidR="000E291F" w:rsidRPr="00B67E67" w:rsidRDefault="000E291F" w:rsidP="000E291F">
      <w:pPr>
        <w:ind w:left="1134" w:hanging="567"/>
        <w:jc w:val="both"/>
        <w:rPr>
          <w:rFonts w:ascii="Times New Roman" w:hAnsi="Times New Roman"/>
        </w:rPr>
      </w:pPr>
      <w:r w:rsidRPr="00B67E67">
        <w:rPr>
          <w:rFonts w:ascii="Times New Roman" w:hAnsi="Times New Roman"/>
          <w:sz w:val="22"/>
        </w:rPr>
        <w:lastRenderedPageBreak/>
        <w:t>(a)</w:t>
      </w:r>
      <w:r w:rsidRPr="00B67E67">
        <w:rPr>
          <w:rFonts w:ascii="Times New Roman" w:hAnsi="Times New Roman"/>
          <w:sz w:val="22"/>
        </w:rPr>
        <w:tab/>
        <w:t>an individual tender for the variant solution;</w:t>
      </w:r>
    </w:p>
    <w:p w:rsidR="000E291F" w:rsidRPr="00B67E67" w:rsidRDefault="000E291F" w:rsidP="000E291F">
      <w:pPr>
        <w:ind w:left="1134" w:hanging="567"/>
        <w:jc w:val="both"/>
        <w:rPr>
          <w:rFonts w:ascii="Times New Roman" w:hAnsi="Times New Roman"/>
        </w:rPr>
      </w:pPr>
      <w:r w:rsidRPr="00B67E67">
        <w:rPr>
          <w:rFonts w:ascii="Times New Roman" w:hAnsi="Times New Roman"/>
          <w:sz w:val="22"/>
        </w:rPr>
        <w:t>(b)</w:t>
      </w:r>
      <w:r w:rsidRPr="00B67E67">
        <w:rPr>
          <w:rFonts w:ascii="Times New Roman" w:hAnsi="Times New Roman"/>
          <w:sz w:val="22"/>
        </w:rPr>
        <w:tab/>
        <w:t>a demonstration of the advantages of the variant solution over the initial solution, including a quantifiable justification of any economic and/or technical advantages;</w:t>
      </w:r>
    </w:p>
    <w:p w:rsidR="000E291F" w:rsidRPr="00B67E67" w:rsidRDefault="000E291F" w:rsidP="000E291F">
      <w:pPr>
        <w:ind w:left="1134" w:hanging="567"/>
        <w:jc w:val="both"/>
        <w:rPr>
          <w:rFonts w:ascii="Times New Roman" w:hAnsi="Times New Roman"/>
        </w:rPr>
      </w:pPr>
      <w:r w:rsidRPr="00B67E67">
        <w:rPr>
          <w:rFonts w:ascii="Times New Roman" w:hAnsi="Times New Roman"/>
          <w:sz w:val="22"/>
        </w:rPr>
        <w:t>(c)</w:t>
      </w:r>
      <w:r w:rsidRPr="00B67E67">
        <w:rPr>
          <w:rFonts w:ascii="Times New Roman" w:hAnsi="Times New Roman"/>
          <w:sz w:val="22"/>
        </w:rPr>
        <w:tab/>
        <w:t>the drawings and specifications provided for in the initial solution which are not affected by the variant solution;</w:t>
      </w:r>
    </w:p>
    <w:p w:rsidR="000E291F" w:rsidRPr="00B67E67" w:rsidRDefault="000E291F" w:rsidP="000E291F">
      <w:pPr>
        <w:ind w:left="1134" w:hanging="567"/>
        <w:jc w:val="both"/>
        <w:rPr>
          <w:rFonts w:ascii="Times New Roman" w:hAnsi="Times New Roman"/>
        </w:rPr>
      </w:pPr>
      <w:r w:rsidRPr="00B67E67">
        <w:rPr>
          <w:rFonts w:ascii="Times New Roman" w:hAnsi="Times New Roman"/>
          <w:sz w:val="22"/>
        </w:rPr>
        <w:t>(d)</w:t>
      </w:r>
      <w:r w:rsidRPr="00B67E67">
        <w:rPr>
          <w:rFonts w:ascii="Times New Roman" w:hAnsi="Times New Roman"/>
          <w:sz w:val="22"/>
        </w:rPr>
        <w:tab/>
        <w:t>the drawings and specifications affected by the variant solution;</w:t>
      </w:r>
    </w:p>
    <w:p w:rsidR="000E291F" w:rsidRPr="00B67E67" w:rsidRDefault="000E291F" w:rsidP="000E291F">
      <w:pPr>
        <w:ind w:left="1134" w:hanging="567"/>
        <w:jc w:val="both"/>
        <w:rPr>
          <w:rFonts w:ascii="Times New Roman" w:hAnsi="Times New Roman"/>
        </w:rPr>
      </w:pPr>
      <w:r w:rsidRPr="00B67E67">
        <w:rPr>
          <w:rFonts w:ascii="Times New Roman" w:hAnsi="Times New Roman"/>
          <w:sz w:val="22"/>
        </w:rPr>
        <w:t>(e)</w:t>
      </w:r>
      <w:r w:rsidRPr="00B67E67">
        <w:rPr>
          <w:rFonts w:ascii="Times New Roman" w:hAnsi="Times New Roman"/>
          <w:sz w:val="22"/>
        </w:rPr>
        <w:tab/>
        <w:t>a technical note on the design of the variant solution and, where appropriate, drawings and calculations;</w:t>
      </w:r>
    </w:p>
    <w:p w:rsidR="000E291F" w:rsidRPr="00B67E67" w:rsidRDefault="000E291F" w:rsidP="00AC07D4">
      <w:pPr>
        <w:pStyle w:val="Heading2"/>
        <w:keepNext w:val="0"/>
        <w:ind w:left="567"/>
        <w:jc w:val="both"/>
        <w:rPr>
          <w:rFonts w:ascii="Times New Roman" w:hAnsi="Times New Roman"/>
          <w:sz w:val="22"/>
          <w:lang w:val="en-GB"/>
        </w:rPr>
      </w:pPr>
      <w:r w:rsidRPr="00B67E67">
        <w:rPr>
          <w:rFonts w:ascii="Times New Roman" w:hAnsi="Times New Roman"/>
          <w:sz w:val="22"/>
          <w:lang w:val="en-GB"/>
        </w:rPr>
        <w:t>The rates and prices inserted in the budget breakdown must correspond to the conditions laid down in the tender documents. Tenderers must clearly indicate in their variants what additions and subtractions are to be made for each rate and price if the Contracting Authority accepts the variant and its specific features.</w:t>
      </w:r>
    </w:p>
    <w:p w:rsidR="000E291F" w:rsidRPr="00E82463" w:rsidRDefault="000E291F" w:rsidP="00AC07D4">
      <w:pPr>
        <w:pStyle w:val="Heading2"/>
        <w:keepNext w:val="0"/>
        <w:ind w:left="567"/>
        <w:jc w:val="both"/>
        <w:rPr>
          <w:rFonts w:ascii="Times New Roman" w:hAnsi="Times New Roman"/>
          <w:sz w:val="22"/>
          <w:lang w:val="en-GB"/>
        </w:rPr>
      </w:pPr>
      <w:r w:rsidRPr="00B67E67">
        <w:rPr>
          <w:rFonts w:ascii="Times New Roman" w:hAnsi="Times New Roman"/>
          <w:sz w:val="22"/>
          <w:lang w:val="en-GB"/>
        </w:rPr>
        <w:t>Any variant proposals must be submitted in a separate inner envelope, clearly marked ‘variant’, and it must contain a technical and a financial offer.</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B67E67">
        <w:rPr>
          <w:rFonts w:ascii="Times New Roman" w:hAnsi="Times New Roman"/>
          <w:sz w:val="22"/>
        </w:rPr>
        <w:t>The sole award criterion will be the price. The contract will be awarded to the lowest compliant tender.</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28" w:name="_Toc41467298"/>
      <w:bookmarkStart w:id="29" w:name="_Toc42488090"/>
      <w:r w:rsidRPr="00E82463">
        <w:rPr>
          <w:lang w:val="en-GB"/>
        </w:rPr>
        <w:t>Signature of the contract and performance guarantee</w:t>
      </w:r>
      <w:bookmarkStart w:id="30" w:name="_Ref500418776"/>
      <w:bookmarkEnd w:id="28"/>
      <w:bookmarkEnd w:id="29"/>
    </w:p>
    <w:p w:rsidR="0047783A" w:rsidRPr="00E82463" w:rsidRDefault="0047783A" w:rsidP="00AC07D4">
      <w:pPr>
        <w:ind w:left="567" w:hanging="567"/>
        <w:jc w:val="both"/>
        <w:rPr>
          <w:rFonts w:ascii="Times New Roman" w:hAnsi="Times New Roman"/>
        </w:rPr>
      </w:pPr>
      <w:r w:rsidRPr="00E82463">
        <w:rPr>
          <w:rFonts w:ascii="Times New Roman" w:hAnsi="Times New Roman"/>
          <w:sz w:val="22"/>
        </w:rPr>
        <w:t>21.1</w:t>
      </w:r>
      <w:r w:rsidRPr="00E82463">
        <w:rPr>
          <w:rFonts w:ascii="Times New Roman" w:hAnsi="Times New Roman"/>
          <w:sz w:val="22"/>
        </w:rPr>
        <w:tab/>
        <w:t xml:space="preserve">The successful tenderer will be informed in writing that its tender has been accepted (notification of award). Before the Contracting Authority signs the contract with the successful tenderer, the successful tenderer must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section 2.3.3 of the Practical Guide.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DE71AB" w:rsidRPr="00E82463">
        <w:rPr>
          <w:rFonts w:ascii="Times New Roman" w:hAnsi="Times New Roman"/>
          <w:sz w:val="22"/>
        </w:rPr>
        <w:t xml:space="preserve">must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21.2</w:t>
      </w:r>
      <w:r w:rsidRPr="00E82463">
        <w:rPr>
          <w:rFonts w:ascii="Times New Roman" w:hAnsi="Times New Roman"/>
          <w:sz w:val="22"/>
          <w:lang w:val="en-GB"/>
        </w:rPr>
        <w:tab/>
        <w:t xml:space="preserve">The successful tenderer </w:t>
      </w:r>
      <w:r w:rsidR="00DE71AB" w:rsidRPr="00E82463">
        <w:rPr>
          <w:rFonts w:ascii="Times New Roman" w:hAnsi="Times New Roman"/>
          <w:sz w:val="22"/>
          <w:lang w:val="en-GB"/>
        </w:rPr>
        <w:t xml:space="preserve">must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CF63C2" w:rsidRPr="00E82463">
        <w:rPr>
          <w:rFonts w:ascii="Times New Roman" w:hAnsi="Times New Roman"/>
          <w:sz w:val="22"/>
          <w:lang w:val="en-GB"/>
        </w:rPr>
        <w:t xml:space="preserve">section </w:t>
      </w:r>
      <w:r w:rsidRPr="00E82463">
        <w:rPr>
          <w:rFonts w:ascii="Times New Roman" w:hAnsi="Times New Roman"/>
          <w:sz w:val="22"/>
          <w:lang w:val="en-GB"/>
        </w:rPr>
        <w:t>2.4.11 of the Practical Guide.</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21.3</w:t>
      </w:r>
      <w:r w:rsidRPr="00E82463">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21.4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Contracting Authority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21.5</w:t>
      </w:r>
      <w:r w:rsidRPr="00E82463">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bookmarkEnd w:id="30"/>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lastRenderedPageBreak/>
        <w:t>21.6</w:t>
      </w:r>
      <w:r w:rsidRPr="00E82463">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w:t>
      </w:r>
      <w:r w:rsidR="006A5F84" w:rsidRPr="00E82463">
        <w:rPr>
          <w:rFonts w:ascii="Times New Roman" w:hAnsi="Times New Roman"/>
          <w:sz w:val="22"/>
          <w:lang w:val="en-GB"/>
        </w:rPr>
        <w:t>’</w:t>
      </w:r>
      <w:r w:rsidRPr="00E82463">
        <w:rPr>
          <w:rFonts w:ascii="Times New Roman" w:hAnsi="Times New Roman"/>
          <w:sz w:val="22"/>
          <w:lang w:val="en-GB"/>
        </w:rPr>
        <w:t>s right to seize the guarantee, claim compensation or pursue any other remedy in respect of such failure, and the successful tenderer will have no claim whatsoever on the Contracting Authority.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21.7</w:t>
      </w:r>
      <w:r w:rsidRPr="00E82463">
        <w:rPr>
          <w:rFonts w:ascii="Times New Roman" w:hAnsi="Times New Roman"/>
        </w:rPr>
        <w:tab/>
      </w:r>
      <w:r w:rsidRPr="00E82463">
        <w:rPr>
          <w:rFonts w:ascii="Times New Roman" w:hAnsi="Times New Roman"/>
          <w:sz w:val="22"/>
        </w:rPr>
        <w:t xml:space="preserve">The performance guarantee referred to in the General Conditions is set at </w:t>
      </w:r>
      <w:r w:rsidR="00B67E67">
        <w:rPr>
          <w:rFonts w:ascii="Times New Roman" w:hAnsi="Times New Roman"/>
          <w:sz w:val="22"/>
        </w:rPr>
        <w:t>5%</w:t>
      </w:r>
      <w:r w:rsidRPr="00E82463">
        <w:rPr>
          <w:rFonts w:ascii="Times New Roman" w:hAnsi="Times New Roman"/>
          <w:sz w:val="22"/>
        </w:rPr>
        <w:t xml:space="preserve">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r w:rsidR="008718AA" w:rsidRPr="00E82463">
        <w:rPr>
          <w:rFonts w:ascii="Times New Roman" w:hAnsi="Times New Roman"/>
          <w:sz w:val="22"/>
        </w:rPr>
        <w:t xml:space="preserve"> </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31" w:name="_Toc41467299"/>
      <w:bookmarkStart w:id="32" w:name="_Toc42488091"/>
      <w:r w:rsidRPr="00E82463">
        <w:rPr>
          <w:lang w:val="en-GB"/>
        </w:rPr>
        <w:t>Tender guarantee</w:t>
      </w:r>
      <w:bookmarkEnd w:id="31"/>
      <w:bookmarkEnd w:id="32"/>
    </w:p>
    <w:p w:rsidR="008718AA" w:rsidRPr="00B67E67" w:rsidRDefault="00D1398A" w:rsidP="00C07667">
      <w:pPr>
        <w:ind w:left="567"/>
        <w:jc w:val="both"/>
        <w:outlineLvl w:val="0"/>
        <w:rPr>
          <w:rFonts w:ascii="Times New Roman" w:hAnsi="Times New Roman"/>
          <w:sz w:val="22"/>
          <w:szCs w:val="22"/>
        </w:rPr>
      </w:pPr>
      <w:r w:rsidRPr="00B67E67">
        <w:rPr>
          <w:rFonts w:ascii="Times New Roman" w:hAnsi="Times New Roman"/>
          <w:sz w:val="22"/>
          <w:szCs w:val="22"/>
        </w:rPr>
        <w:t>No tender guarantee is required</w:t>
      </w:r>
      <w:r w:rsidR="008718AA" w:rsidRPr="00B67E67">
        <w:rPr>
          <w:rFonts w:ascii="Times New Roman" w:hAnsi="Times New Roman"/>
          <w:sz w:val="22"/>
          <w:szCs w:val="22"/>
        </w:rPr>
        <w:t>.</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33" w:name="_Toc41467300"/>
      <w:bookmarkStart w:id="34" w:name="_Toc42488092"/>
      <w:r w:rsidRPr="00E82463">
        <w:rPr>
          <w:lang w:val="en-GB"/>
        </w:rPr>
        <w:t>Ethics clauses</w:t>
      </w:r>
      <w:bookmarkEnd w:id="33"/>
      <w:bookmarkEnd w:id="34"/>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23.1</w:t>
      </w:r>
      <w:r w:rsidRPr="00E82463">
        <w:rPr>
          <w:rFonts w:ascii="Times New Roman" w:hAnsi="Times New Roman"/>
          <w:sz w:val="22"/>
          <w:lang w:val="en-GB"/>
        </w:rPr>
        <w:tab/>
        <w:t xml:space="preserve">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w:t>
      </w:r>
      <w:r w:rsidR="00BB2075" w:rsidRPr="00E82463">
        <w:rPr>
          <w:rFonts w:ascii="Times New Roman" w:hAnsi="Times New Roman"/>
          <w:sz w:val="22"/>
          <w:lang w:val="en-GB"/>
        </w:rPr>
        <w:t xml:space="preserve">their </w:t>
      </w:r>
      <w:r w:rsidRPr="00E82463">
        <w:rPr>
          <w:rFonts w:ascii="Times New Roman" w:hAnsi="Times New Roman"/>
          <w:sz w:val="22"/>
          <w:lang w:val="en-GB"/>
        </w:rPr>
        <w:t>candidacy or tender and may result in administrative penalties.</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23.2</w:t>
      </w:r>
      <w:r w:rsidRPr="00E82463">
        <w:rPr>
          <w:rFonts w:ascii="Times New Roman" w:hAnsi="Times New Roman"/>
          <w:sz w:val="22"/>
          <w:lang w:val="en-GB"/>
        </w:rPr>
        <w:tab/>
        <w:t>Without the Contracting Authority</w:t>
      </w:r>
      <w:r w:rsidR="006A5F84" w:rsidRPr="00E82463">
        <w:rPr>
          <w:rFonts w:ascii="Times New Roman" w:hAnsi="Times New Roman"/>
          <w:sz w:val="22"/>
          <w:lang w:val="en-GB"/>
        </w:rPr>
        <w:t>’</w:t>
      </w:r>
      <w:r w:rsidRPr="00E82463">
        <w:rPr>
          <w:rFonts w:ascii="Times New Roman" w:hAnsi="Times New Roman"/>
          <w:sz w:val="22"/>
          <w:lang w:val="en-GB"/>
        </w:rPr>
        <w:t>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23.3.</w:t>
      </w:r>
      <w:r w:rsidRPr="00E82463">
        <w:rPr>
          <w:rFonts w:ascii="Times New Roman" w:hAnsi="Times New Roman"/>
          <w:sz w:val="22"/>
          <w:lang w:val="en-GB"/>
        </w:rPr>
        <w:tab/>
        <w:t xml:space="preserve">When </w:t>
      </w:r>
      <w:r w:rsidR="00BB2075" w:rsidRPr="00E82463">
        <w:rPr>
          <w:rFonts w:ascii="Times New Roman" w:hAnsi="Times New Roman"/>
          <w:sz w:val="22"/>
          <w:lang w:val="en-GB"/>
        </w:rPr>
        <w:t>submitting</w:t>
      </w:r>
      <w:r w:rsidRPr="00E82463">
        <w:rPr>
          <w:rFonts w:ascii="Times New Roman" w:hAnsi="Times New Roman"/>
          <w:sz w:val="22"/>
          <w:lang w:val="en-GB"/>
        </w:rPr>
        <w:t xml:space="preserve"> a tender, tenderer</w:t>
      </w:r>
      <w:r w:rsidR="00BB2075" w:rsidRPr="00E82463">
        <w:rPr>
          <w:rFonts w:ascii="Times New Roman" w:hAnsi="Times New Roman"/>
          <w:sz w:val="22"/>
          <w:lang w:val="en-GB"/>
        </w:rPr>
        <w:t>s</w:t>
      </w:r>
      <w:r w:rsidRPr="00E82463">
        <w:rPr>
          <w:rFonts w:ascii="Times New Roman" w:hAnsi="Times New Roman"/>
          <w:sz w:val="22"/>
          <w:lang w:val="en-GB"/>
        </w:rPr>
        <w:t xml:space="preserve"> </w:t>
      </w:r>
      <w:r w:rsidR="00BB2075" w:rsidRPr="00E82463">
        <w:rPr>
          <w:rFonts w:ascii="Times New Roman" w:hAnsi="Times New Roman"/>
          <w:sz w:val="22"/>
          <w:lang w:val="en-GB"/>
        </w:rPr>
        <w:t xml:space="preserve">must </w:t>
      </w:r>
      <w:r w:rsidRPr="00E82463">
        <w:rPr>
          <w:rFonts w:ascii="Times New Roman" w:hAnsi="Times New Roman"/>
          <w:sz w:val="22"/>
          <w:lang w:val="en-GB"/>
        </w:rPr>
        <w:t xml:space="preserve">declare that </w:t>
      </w:r>
      <w:r w:rsidR="00BB2075" w:rsidRPr="00E82463">
        <w:rPr>
          <w:rFonts w:ascii="Times New Roman" w:hAnsi="Times New Roman"/>
          <w:sz w:val="22"/>
          <w:lang w:val="en-GB"/>
        </w:rPr>
        <w:t>they are not</w:t>
      </w:r>
      <w:r w:rsidRPr="00E82463">
        <w:rPr>
          <w:rFonts w:ascii="Times New Roman" w:hAnsi="Times New Roman"/>
          <w:sz w:val="22"/>
          <w:lang w:val="en-GB"/>
        </w:rPr>
        <w:t xml:space="preserve"> affected by </w:t>
      </w:r>
      <w:r w:rsidR="00BB2075" w:rsidRPr="00E82463">
        <w:rPr>
          <w:rFonts w:ascii="Times New Roman" w:hAnsi="Times New Roman"/>
          <w:sz w:val="22"/>
          <w:lang w:val="en-GB"/>
        </w:rPr>
        <w:t xml:space="preserve">a </w:t>
      </w:r>
      <w:r w:rsidRPr="00E82463">
        <w:rPr>
          <w:rFonts w:ascii="Times New Roman" w:hAnsi="Times New Roman"/>
          <w:sz w:val="22"/>
          <w:lang w:val="en-GB"/>
        </w:rPr>
        <w:t>conflict of interest and ha</w:t>
      </w:r>
      <w:r w:rsidR="00BB2075" w:rsidRPr="00E82463">
        <w:rPr>
          <w:rFonts w:ascii="Times New Roman" w:hAnsi="Times New Roman"/>
          <w:sz w:val="22"/>
          <w:lang w:val="en-GB"/>
        </w:rPr>
        <w:t>ve</w:t>
      </w:r>
      <w:r w:rsidRPr="00E82463">
        <w:rPr>
          <w:rFonts w:ascii="Times New Roman" w:hAnsi="Times New Roman"/>
          <w:sz w:val="22"/>
          <w:lang w:val="en-GB"/>
        </w:rPr>
        <w:t xml:space="preserve"> no equivalent relation in that respect with other tenderers or parties involved in the project. Should such a situation arise during execution of the contract, the Contractor must immediately inform the Contracting Authority.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23.4</w:t>
      </w:r>
      <w:r w:rsidRPr="00E82463">
        <w:rPr>
          <w:rFonts w:ascii="Times New Roman" w:hAnsi="Times New Roman"/>
          <w:sz w:val="22"/>
          <w:lang w:val="en-GB"/>
        </w:rPr>
        <w:tab/>
        <w:t>Contractor</w:t>
      </w:r>
      <w:r w:rsidR="00BB2075" w:rsidRPr="00E82463">
        <w:rPr>
          <w:rFonts w:ascii="Times New Roman" w:hAnsi="Times New Roman"/>
          <w:sz w:val="22"/>
          <w:lang w:val="en-GB"/>
        </w:rPr>
        <w:t>s</w:t>
      </w:r>
      <w:r w:rsidRPr="00E82463">
        <w:rPr>
          <w:rFonts w:ascii="Times New Roman" w:hAnsi="Times New Roman"/>
          <w:sz w:val="22"/>
          <w:lang w:val="en-GB"/>
        </w:rPr>
        <w:t xml:space="preserve"> must at all times act impartially and as faithful adviser</w:t>
      </w:r>
      <w:r w:rsidR="00BB2075" w:rsidRPr="00E82463">
        <w:rPr>
          <w:rFonts w:ascii="Times New Roman" w:hAnsi="Times New Roman"/>
          <w:sz w:val="22"/>
          <w:lang w:val="en-GB"/>
        </w:rPr>
        <w:t>s</w:t>
      </w:r>
      <w:r w:rsidRPr="00E82463">
        <w:rPr>
          <w:rFonts w:ascii="Times New Roman" w:hAnsi="Times New Roman"/>
          <w:sz w:val="22"/>
          <w:lang w:val="en-GB"/>
        </w:rPr>
        <w:t xml:space="preserve"> in accordance with the code of conduct of </w:t>
      </w:r>
      <w:r w:rsidR="00BB2075" w:rsidRPr="00E82463">
        <w:rPr>
          <w:rFonts w:ascii="Times New Roman" w:hAnsi="Times New Roman"/>
          <w:sz w:val="22"/>
          <w:lang w:val="en-GB"/>
        </w:rPr>
        <w:t xml:space="preserve">their </w:t>
      </w:r>
      <w:r w:rsidRPr="00E82463">
        <w:rPr>
          <w:rFonts w:ascii="Times New Roman" w:hAnsi="Times New Roman"/>
          <w:sz w:val="22"/>
          <w:lang w:val="en-GB"/>
        </w:rPr>
        <w:t xml:space="preserve">profession. </w:t>
      </w:r>
      <w:r w:rsidR="00BB2075" w:rsidRPr="00E82463">
        <w:rPr>
          <w:rFonts w:ascii="Times New Roman" w:hAnsi="Times New Roman"/>
          <w:sz w:val="22"/>
          <w:lang w:val="en-GB"/>
        </w:rPr>
        <w:t xml:space="preserve">They </w:t>
      </w:r>
      <w:r w:rsidR="00FE7D87" w:rsidRPr="00E82463">
        <w:rPr>
          <w:rFonts w:ascii="Times New Roman" w:hAnsi="Times New Roman"/>
          <w:sz w:val="22"/>
          <w:lang w:val="en-GB"/>
        </w:rPr>
        <w:t>will</w:t>
      </w:r>
      <w:r w:rsidRPr="00E82463">
        <w:rPr>
          <w:rFonts w:ascii="Times New Roman" w:hAnsi="Times New Roman"/>
          <w:sz w:val="22"/>
          <w:lang w:val="en-GB"/>
        </w:rPr>
        <w:t xml:space="preserve"> refrain from making public statements about the project or services without the Contracting Authority</w:t>
      </w:r>
      <w:r w:rsidR="006A5F84" w:rsidRPr="00E82463">
        <w:rPr>
          <w:rFonts w:ascii="Times New Roman" w:hAnsi="Times New Roman"/>
          <w:sz w:val="22"/>
          <w:lang w:val="en-GB"/>
        </w:rPr>
        <w:t>’</w:t>
      </w:r>
      <w:r w:rsidRPr="00E82463">
        <w:rPr>
          <w:rFonts w:ascii="Times New Roman" w:hAnsi="Times New Roman"/>
          <w:sz w:val="22"/>
          <w:lang w:val="en-GB"/>
        </w:rPr>
        <w:t xml:space="preserve">s prior approval. </w:t>
      </w:r>
      <w:r w:rsidR="00FE7D87" w:rsidRPr="00E82463">
        <w:rPr>
          <w:rFonts w:ascii="Times New Roman" w:hAnsi="Times New Roman"/>
          <w:sz w:val="22"/>
          <w:lang w:val="en-GB"/>
        </w:rPr>
        <w:t xml:space="preserve">They </w:t>
      </w:r>
      <w:r w:rsidRPr="00E82463">
        <w:rPr>
          <w:rFonts w:ascii="Times New Roman" w:hAnsi="Times New Roman"/>
          <w:sz w:val="22"/>
          <w:lang w:val="en-GB"/>
        </w:rPr>
        <w:t>may not commit the Contracting Authority in any way without its prior written consent.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23.5</w:t>
      </w:r>
      <w:r w:rsidRPr="00E82463">
        <w:rPr>
          <w:rFonts w:ascii="Times New Roman" w:hAnsi="Times New Roman"/>
          <w:sz w:val="22"/>
          <w:lang w:val="en-GB"/>
        </w:rPr>
        <w:tab/>
        <w:t>For the duration of the contract</w:t>
      </w:r>
      <w:r w:rsidR="005005D7" w:rsidRPr="00E82463">
        <w:rPr>
          <w:rFonts w:ascii="Times New Roman" w:hAnsi="Times New Roman"/>
          <w:sz w:val="22"/>
          <w:lang w:val="en-GB"/>
        </w:rPr>
        <w:t>s</w:t>
      </w:r>
      <w:r w:rsidRPr="00E82463">
        <w:rPr>
          <w:rFonts w:ascii="Times New Roman" w:hAnsi="Times New Roman"/>
          <w:sz w:val="22"/>
          <w:lang w:val="en-GB"/>
        </w:rPr>
        <w:t xml:space="preserve"> Contractor</w:t>
      </w:r>
      <w:r w:rsidR="005005D7" w:rsidRPr="00E82463">
        <w:rPr>
          <w:rFonts w:ascii="Times New Roman" w:hAnsi="Times New Roman"/>
          <w:sz w:val="22"/>
          <w:lang w:val="en-GB"/>
        </w:rPr>
        <w:t>s</w:t>
      </w:r>
      <w:r w:rsidRPr="00E82463">
        <w:rPr>
          <w:rFonts w:ascii="Times New Roman" w:hAnsi="Times New Roman"/>
          <w:sz w:val="22"/>
          <w:lang w:val="en-GB"/>
        </w:rPr>
        <w:t xml:space="preserve"> and </w:t>
      </w:r>
      <w:r w:rsidR="005005D7" w:rsidRPr="00E82463">
        <w:rPr>
          <w:rFonts w:ascii="Times New Roman" w:hAnsi="Times New Roman"/>
          <w:sz w:val="22"/>
          <w:lang w:val="en-GB"/>
        </w:rPr>
        <w:t xml:space="preserve">their </w:t>
      </w:r>
      <w:r w:rsidRPr="00E82463">
        <w:rPr>
          <w:rFonts w:ascii="Times New Roman" w:hAnsi="Times New Roman"/>
          <w:sz w:val="22"/>
          <w:lang w:val="en-GB"/>
        </w:rPr>
        <w:t xml:space="preserve">staff </w:t>
      </w:r>
      <w:r w:rsidR="00FE7D87" w:rsidRPr="00E82463">
        <w:rPr>
          <w:rFonts w:ascii="Times New Roman" w:hAnsi="Times New Roman"/>
          <w:sz w:val="22"/>
          <w:lang w:val="en-GB"/>
        </w:rPr>
        <w:t xml:space="preserve">must </w:t>
      </w:r>
      <w:r w:rsidRPr="00E82463">
        <w:rPr>
          <w:rFonts w:ascii="Times New Roman" w:hAnsi="Times New Roman"/>
          <w:sz w:val="22"/>
          <w:lang w:val="en-GB"/>
        </w:rPr>
        <w:t xml:space="preserve">respect human rights and undertake not to offend the political, cultural and religious mores of the beneficiary state. In particular and in accordance with the legal basic act concerned, tenderers </w:t>
      </w:r>
      <w:r w:rsidR="005005D7" w:rsidRPr="00E82463">
        <w:rPr>
          <w:rFonts w:ascii="Times New Roman" w:hAnsi="Times New Roman"/>
          <w:sz w:val="22"/>
          <w:lang w:val="en-GB"/>
        </w:rPr>
        <w:t xml:space="preserve">that </w:t>
      </w:r>
      <w:r w:rsidRPr="00E82463">
        <w:rPr>
          <w:rFonts w:ascii="Times New Roman" w:hAnsi="Times New Roman"/>
          <w:sz w:val="22"/>
          <w:lang w:val="en-GB"/>
        </w:rPr>
        <w:t xml:space="preserve">have been awarded contracts </w:t>
      </w:r>
      <w:r w:rsidR="00FE7D87" w:rsidRPr="00E82463">
        <w:rPr>
          <w:rFonts w:ascii="Times New Roman" w:hAnsi="Times New Roman"/>
          <w:sz w:val="22"/>
          <w:lang w:val="en-GB"/>
        </w:rPr>
        <w:t>must abide by</w:t>
      </w:r>
      <w:r w:rsidRPr="00E82463">
        <w:rPr>
          <w:rFonts w:ascii="Times New Roman" w:hAnsi="Times New Roman"/>
          <w:sz w:val="22"/>
          <w:lang w:val="en-GB"/>
        </w:rPr>
        <w:t xml:space="preserve">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23.6</w:t>
      </w:r>
      <w:r w:rsidRPr="00E82463">
        <w:rPr>
          <w:rFonts w:ascii="Times New Roman" w:hAnsi="Times New Roman"/>
          <w:sz w:val="22"/>
          <w:lang w:val="en-GB"/>
        </w:rPr>
        <w:tab/>
        <w:t>Contractor</w:t>
      </w:r>
      <w:r w:rsidR="005005D7" w:rsidRPr="00E82463">
        <w:rPr>
          <w:rFonts w:ascii="Times New Roman" w:hAnsi="Times New Roman"/>
          <w:sz w:val="22"/>
          <w:lang w:val="en-GB"/>
        </w:rPr>
        <w:t>s</w:t>
      </w:r>
      <w:r w:rsidRPr="00E82463">
        <w:rPr>
          <w:rFonts w:ascii="Times New Roman" w:hAnsi="Times New Roman"/>
          <w:sz w:val="22"/>
          <w:lang w:val="en-GB"/>
        </w:rPr>
        <w:t xml:space="preserve"> may accept no payment connected with the contract</w:t>
      </w:r>
      <w:r w:rsidR="005005D7" w:rsidRPr="00E82463">
        <w:rPr>
          <w:rFonts w:ascii="Times New Roman" w:hAnsi="Times New Roman"/>
          <w:sz w:val="22"/>
          <w:lang w:val="en-GB"/>
        </w:rPr>
        <w:t>s</w:t>
      </w:r>
      <w:r w:rsidRPr="00E82463">
        <w:rPr>
          <w:rFonts w:ascii="Times New Roman" w:hAnsi="Times New Roman"/>
          <w:sz w:val="22"/>
          <w:lang w:val="en-GB"/>
        </w:rPr>
        <w:t xml:space="preserve"> other than that provided for therein. Contractor</w:t>
      </w:r>
      <w:r w:rsidR="005005D7" w:rsidRPr="00E82463">
        <w:rPr>
          <w:rFonts w:ascii="Times New Roman" w:hAnsi="Times New Roman"/>
          <w:sz w:val="22"/>
          <w:lang w:val="en-GB"/>
        </w:rPr>
        <w:t>s</w:t>
      </w:r>
      <w:r w:rsidRPr="00E82463">
        <w:rPr>
          <w:rFonts w:ascii="Times New Roman" w:hAnsi="Times New Roman"/>
          <w:sz w:val="22"/>
          <w:lang w:val="en-GB"/>
        </w:rPr>
        <w:t xml:space="preserve"> and </w:t>
      </w:r>
      <w:r w:rsidR="005005D7" w:rsidRPr="00E82463">
        <w:rPr>
          <w:rFonts w:ascii="Times New Roman" w:hAnsi="Times New Roman"/>
          <w:sz w:val="22"/>
          <w:lang w:val="en-GB"/>
        </w:rPr>
        <w:t xml:space="preserve">their </w:t>
      </w:r>
      <w:r w:rsidRPr="00E82463">
        <w:rPr>
          <w:rFonts w:ascii="Times New Roman" w:hAnsi="Times New Roman"/>
          <w:sz w:val="22"/>
          <w:lang w:val="en-GB"/>
        </w:rPr>
        <w:t xml:space="preserve">staff must not exercise any activity </w:t>
      </w:r>
      <w:r w:rsidR="005005D7" w:rsidRPr="00E82463">
        <w:rPr>
          <w:rFonts w:ascii="Times New Roman" w:hAnsi="Times New Roman"/>
          <w:sz w:val="22"/>
          <w:lang w:val="en-GB"/>
        </w:rPr>
        <w:t>n</w:t>
      </w:r>
      <w:r w:rsidRPr="00E82463">
        <w:rPr>
          <w:rFonts w:ascii="Times New Roman" w:hAnsi="Times New Roman"/>
          <w:sz w:val="22"/>
          <w:lang w:val="en-GB"/>
        </w:rPr>
        <w:t>or receive any advantage inconsistent with their obligations to the Contracting Authority.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23.7</w:t>
      </w:r>
      <w:r w:rsidRPr="00E82463">
        <w:rPr>
          <w:rFonts w:ascii="Times New Roman" w:hAnsi="Times New Roman"/>
          <w:sz w:val="22"/>
          <w:lang w:val="en-GB"/>
        </w:rPr>
        <w:tab/>
        <w:t>Contractor</w:t>
      </w:r>
      <w:r w:rsidR="005005D7" w:rsidRPr="00E82463">
        <w:rPr>
          <w:rFonts w:ascii="Times New Roman" w:hAnsi="Times New Roman"/>
          <w:sz w:val="22"/>
          <w:lang w:val="en-GB"/>
        </w:rPr>
        <w:t>s</w:t>
      </w:r>
      <w:r w:rsidRPr="00E82463">
        <w:rPr>
          <w:rFonts w:ascii="Times New Roman" w:hAnsi="Times New Roman"/>
          <w:sz w:val="22"/>
          <w:lang w:val="en-GB"/>
        </w:rPr>
        <w:t xml:space="preserve"> and </w:t>
      </w:r>
      <w:r w:rsidR="005005D7" w:rsidRPr="00E82463">
        <w:rPr>
          <w:rFonts w:ascii="Times New Roman" w:hAnsi="Times New Roman"/>
          <w:sz w:val="22"/>
          <w:lang w:val="en-GB"/>
        </w:rPr>
        <w:t xml:space="preserve">their </w:t>
      </w:r>
      <w:r w:rsidRPr="00E82463">
        <w:rPr>
          <w:rFonts w:ascii="Times New Roman" w:hAnsi="Times New Roman"/>
          <w:sz w:val="22"/>
          <w:lang w:val="en-GB"/>
        </w:rPr>
        <w:t xml:space="preserve">staff </w:t>
      </w:r>
      <w:r w:rsidR="00FE7D87" w:rsidRPr="00E82463">
        <w:rPr>
          <w:rFonts w:ascii="Times New Roman" w:hAnsi="Times New Roman"/>
          <w:sz w:val="22"/>
          <w:lang w:val="en-GB"/>
        </w:rPr>
        <w:t>are</w:t>
      </w:r>
      <w:r w:rsidRPr="00E82463">
        <w:rPr>
          <w:rFonts w:ascii="Times New Roman" w:hAnsi="Times New Roman"/>
          <w:sz w:val="22"/>
          <w:lang w:val="en-GB"/>
        </w:rPr>
        <w:t xml:space="preserve"> obliged to maintain professional secrecy for the entire duration of contract</w:t>
      </w:r>
      <w:r w:rsidR="005005D7" w:rsidRPr="00E82463">
        <w:rPr>
          <w:rFonts w:ascii="Times New Roman" w:hAnsi="Times New Roman"/>
          <w:sz w:val="22"/>
          <w:lang w:val="en-GB"/>
        </w:rPr>
        <w:t>s</w:t>
      </w:r>
      <w:r w:rsidRPr="00E82463">
        <w:rPr>
          <w:rFonts w:ascii="Times New Roman" w:hAnsi="Times New Roman"/>
          <w:sz w:val="22"/>
          <w:lang w:val="en-GB"/>
        </w:rPr>
        <w:t xml:space="preserve"> and after </w:t>
      </w:r>
      <w:r w:rsidR="005005D7" w:rsidRPr="00E82463">
        <w:rPr>
          <w:rFonts w:ascii="Times New Roman" w:hAnsi="Times New Roman"/>
          <w:sz w:val="22"/>
          <w:lang w:val="en-GB"/>
        </w:rPr>
        <w:t xml:space="preserve">their </w:t>
      </w:r>
      <w:r w:rsidRPr="00E82463">
        <w:rPr>
          <w:rFonts w:ascii="Times New Roman" w:hAnsi="Times New Roman"/>
          <w:sz w:val="22"/>
          <w:lang w:val="en-GB"/>
        </w:rPr>
        <w:t>completion. All reports and documents drawn up or received by Contractor</w:t>
      </w:r>
      <w:r w:rsidR="005005D7" w:rsidRPr="00E82463">
        <w:rPr>
          <w:rFonts w:ascii="Times New Roman" w:hAnsi="Times New Roman"/>
          <w:sz w:val="22"/>
          <w:lang w:val="en-GB"/>
        </w:rPr>
        <w:t>s</w:t>
      </w:r>
      <w:r w:rsidRPr="00E82463">
        <w:rPr>
          <w:rFonts w:ascii="Times New Roman" w:hAnsi="Times New Roman"/>
          <w:sz w:val="22"/>
          <w:lang w:val="en-GB"/>
        </w:rPr>
        <w:t xml:space="preserve"> </w:t>
      </w:r>
      <w:r w:rsidR="00FE7D87" w:rsidRPr="00E82463">
        <w:rPr>
          <w:rFonts w:ascii="Times New Roman" w:hAnsi="Times New Roman"/>
          <w:sz w:val="22"/>
          <w:lang w:val="en-GB"/>
        </w:rPr>
        <w:t>will</w:t>
      </w:r>
      <w:r w:rsidRPr="00E82463">
        <w:rPr>
          <w:rFonts w:ascii="Times New Roman" w:hAnsi="Times New Roman"/>
          <w:sz w:val="22"/>
          <w:lang w:val="en-GB"/>
        </w:rPr>
        <w:t xml:space="preserve"> be confidential.</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23.8</w:t>
      </w:r>
      <w:r w:rsidRPr="00E82463">
        <w:rPr>
          <w:rFonts w:ascii="Times New Roman" w:hAnsi="Times New Roman"/>
          <w:sz w:val="22"/>
          <w:lang w:val="en-GB"/>
        </w:rPr>
        <w:tab/>
        <w:t>The contract govern</w:t>
      </w:r>
      <w:r w:rsidR="005005D7" w:rsidRPr="00E82463">
        <w:rPr>
          <w:rFonts w:ascii="Times New Roman" w:hAnsi="Times New Roman"/>
          <w:sz w:val="22"/>
          <w:lang w:val="en-GB"/>
        </w:rPr>
        <w:t>s</w:t>
      </w:r>
      <w:r w:rsidRPr="00E82463">
        <w:rPr>
          <w:rFonts w:ascii="Times New Roman" w:hAnsi="Times New Roman"/>
          <w:sz w:val="22"/>
          <w:lang w:val="en-GB"/>
        </w:rPr>
        <w:t xml:space="preserve"> the Contracting Parties</w:t>
      </w:r>
      <w:r w:rsidR="006A5F84" w:rsidRPr="00E82463">
        <w:rPr>
          <w:rFonts w:ascii="Times New Roman" w:hAnsi="Times New Roman"/>
          <w:sz w:val="22"/>
          <w:lang w:val="en-GB"/>
        </w:rPr>
        <w:t>’</w:t>
      </w:r>
      <w:r w:rsidRPr="00E82463">
        <w:rPr>
          <w:rFonts w:ascii="Times New Roman" w:hAnsi="Times New Roman"/>
          <w:sz w:val="22"/>
          <w:lang w:val="en-GB"/>
        </w:rPr>
        <w:t xml:space="preserve"> use of all reports and documents drawn up, received or presented by them during the implementation of the contract.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23.9</w:t>
      </w:r>
      <w:r w:rsidRPr="00E82463">
        <w:rPr>
          <w:rFonts w:ascii="Times New Roman" w:hAnsi="Times New Roman"/>
          <w:sz w:val="22"/>
          <w:lang w:val="en-GB"/>
        </w:rPr>
        <w:tab/>
        <w:t>Contractor</w:t>
      </w:r>
      <w:r w:rsidR="005005D7" w:rsidRPr="00E82463">
        <w:rPr>
          <w:rFonts w:ascii="Times New Roman" w:hAnsi="Times New Roman"/>
          <w:sz w:val="22"/>
          <w:lang w:val="en-GB"/>
        </w:rPr>
        <w:t>s</w:t>
      </w:r>
      <w:r w:rsidRPr="00E82463">
        <w:rPr>
          <w:rFonts w:ascii="Times New Roman" w:hAnsi="Times New Roman"/>
          <w:sz w:val="22"/>
          <w:lang w:val="en-GB"/>
        </w:rPr>
        <w:t xml:space="preserve"> </w:t>
      </w:r>
      <w:r w:rsidR="00FE7D87" w:rsidRPr="00E82463">
        <w:rPr>
          <w:rFonts w:ascii="Times New Roman" w:hAnsi="Times New Roman"/>
          <w:sz w:val="22"/>
          <w:lang w:val="en-GB"/>
        </w:rPr>
        <w:t>must</w:t>
      </w:r>
      <w:r w:rsidRPr="00E82463">
        <w:rPr>
          <w:rFonts w:ascii="Times New Roman" w:hAnsi="Times New Roman"/>
          <w:sz w:val="22"/>
          <w:lang w:val="en-GB"/>
        </w:rPr>
        <w:t xml:space="preserve"> refrain from any relationship likely to compromise </w:t>
      </w:r>
      <w:r w:rsidR="005005D7" w:rsidRPr="00E82463">
        <w:rPr>
          <w:rFonts w:ascii="Times New Roman" w:hAnsi="Times New Roman"/>
          <w:sz w:val="22"/>
          <w:lang w:val="en-GB"/>
        </w:rPr>
        <w:t xml:space="preserve">their </w:t>
      </w:r>
      <w:r w:rsidRPr="00E82463">
        <w:rPr>
          <w:rFonts w:ascii="Times New Roman" w:hAnsi="Times New Roman"/>
          <w:sz w:val="22"/>
          <w:lang w:val="en-GB"/>
        </w:rPr>
        <w:t xml:space="preserve">independence or that of </w:t>
      </w:r>
      <w:r w:rsidR="005005D7" w:rsidRPr="00E82463">
        <w:rPr>
          <w:rFonts w:ascii="Times New Roman" w:hAnsi="Times New Roman"/>
          <w:sz w:val="22"/>
          <w:lang w:val="en-GB"/>
        </w:rPr>
        <w:t xml:space="preserve">their </w:t>
      </w:r>
      <w:r w:rsidRPr="00E82463">
        <w:rPr>
          <w:rFonts w:ascii="Times New Roman" w:hAnsi="Times New Roman"/>
          <w:sz w:val="22"/>
          <w:lang w:val="en-GB"/>
        </w:rPr>
        <w:t>staff. If the Contractor ceases to be independent, the Contracting Authority may, regardless of injury, terminate the contract without further notice and without the Contractor having any claim to compensation.</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23.10</w:t>
      </w:r>
      <w:r w:rsidRPr="00E82463">
        <w:rPr>
          <w:rFonts w:ascii="Times New Roman" w:hAnsi="Times New Roman"/>
          <w:sz w:val="22"/>
          <w:lang w:val="en-GB"/>
        </w:rPr>
        <w:tab/>
        <w:t xml:space="preserve">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w:t>
      </w:r>
      <w:r w:rsidR="006A5F84" w:rsidRPr="00E82463">
        <w:rPr>
          <w:rFonts w:ascii="Times New Roman" w:hAnsi="Times New Roman"/>
          <w:sz w:val="22"/>
          <w:lang w:val="en-GB"/>
        </w:rPr>
        <w:t>‘</w:t>
      </w:r>
      <w:r w:rsidRPr="00E82463">
        <w:rPr>
          <w:rFonts w:ascii="Times New Roman" w:hAnsi="Times New Roman"/>
          <w:sz w:val="22"/>
          <w:lang w:val="en-GB"/>
        </w:rPr>
        <w:t>corrupt practices</w:t>
      </w:r>
      <w:r w:rsidR="006A5F84" w:rsidRPr="00E82463">
        <w:rPr>
          <w:rFonts w:ascii="Times New Roman" w:hAnsi="Times New Roman"/>
          <w:sz w:val="22"/>
          <w:lang w:val="en-GB"/>
        </w:rPr>
        <w:t>’</w:t>
      </w:r>
      <w:r w:rsidRPr="00E82463">
        <w:rPr>
          <w:rFonts w:ascii="Times New Roman" w:hAnsi="Times New Roman"/>
          <w:sz w:val="22"/>
          <w:lang w:val="en-GB"/>
        </w:rPr>
        <w:t xml:space="preserve"> are the offer of a bribe, gift, gratuity or commission to any person as an inducement or reward for performing or refraining from any act relating to the award of a contract or implementation of a contract already concluded with the Contracting Authority.</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23.11</w:t>
      </w:r>
      <w:r w:rsidRPr="00E82463">
        <w:rPr>
          <w:rFonts w:ascii="Times New Roman" w:hAnsi="Times New Roman"/>
          <w:sz w:val="22"/>
          <w:lang w:val="en-GB"/>
        </w:rPr>
        <w:tab/>
        <w:t xml:space="preserve">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w:t>
      </w:r>
      <w:r w:rsidR="00885882" w:rsidRPr="00E82463">
        <w:rPr>
          <w:rFonts w:ascii="Times New Roman" w:hAnsi="Times New Roman"/>
          <w:sz w:val="22"/>
          <w:lang w:val="en-GB"/>
        </w:rPr>
        <w:t xml:space="preserve">any </w:t>
      </w:r>
      <w:r w:rsidRPr="00E82463">
        <w:rPr>
          <w:rFonts w:ascii="Times New Roman" w:hAnsi="Times New Roman"/>
          <w:sz w:val="22"/>
          <w:lang w:val="en-GB"/>
        </w:rPr>
        <w:t>appearance of being a front company.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23.12</w:t>
      </w:r>
      <w:r w:rsidRPr="00E82463">
        <w:rPr>
          <w:rFonts w:ascii="Times New Roman" w:hAnsi="Times New Roman"/>
          <w:sz w:val="22"/>
          <w:lang w:val="en-GB"/>
        </w:rPr>
        <w:tab/>
        <w:t>The Contractor undertakes to supply the Commission on request with all supporting documents relating to the conditions of the contract</w:t>
      </w:r>
      <w:r w:rsidR="006A5F84" w:rsidRPr="00E82463">
        <w:rPr>
          <w:rFonts w:ascii="Times New Roman" w:hAnsi="Times New Roman"/>
          <w:sz w:val="22"/>
          <w:lang w:val="en-GB"/>
        </w:rPr>
        <w:t>’</w:t>
      </w:r>
      <w:r w:rsidRPr="00E82463">
        <w:rPr>
          <w:rFonts w:ascii="Times New Roman" w:hAnsi="Times New Roman"/>
          <w:sz w:val="22"/>
          <w:lang w:val="en-GB"/>
        </w:rPr>
        <w:t>s execution. The Commission may carry out whatever documentary or on-the-spot checks it deems necessary to find evidence in cases of suspected unusual commercial expenses.</w:t>
      </w:r>
    </w:p>
    <w:p w:rsidR="0047783A" w:rsidRPr="00E82463" w:rsidRDefault="0047783A" w:rsidP="0047783A">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23.13</w:t>
      </w:r>
      <w:r w:rsidRPr="00E82463">
        <w:rPr>
          <w:rFonts w:ascii="Times New Roman" w:hAnsi="Times New Roman"/>
          <w:sz w:val="22"/>
          <w:szCs w:val="22"/>
          <w:lang w:val="en-GB"/>
        </w:rPr>
        <w:tab/>
        <w:t>Contractors found to have paid unusual commercial expenses on projects funded by the EU are liable, depending on the seriousness of the facts observed, to have their contracts terminated or to be permanently excluded from receiving EU funds.</w:t>
      </w:r>
    </w:p>
    <w:p w:rsidR="0047783A" w:rsidRPr="00E82463" w:rsidRDefault="0047783A" w:rsidP="0047783A">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23.14</w:t>
      </w:r>
      <w:r w:rsidRPr="00E82463">
        <w:rPr>
          <w:rFonts w:ascii="Times New Roman" w:hAnsi="Times New Roman"/>
          <w:sz w:val="22"/>
          <w:szCs w:val="22"/>
          <w:lang w:val="en-GB"/>
        </w:rPr>
        <w:tab/>
        <w:t xml:space="preserve">The Contracting Authority reserves the right to suspend or cancel the procedure, </w:t>
      </w:r>
      <w:r w:rsidR="005005D7" w:rsidRPr="00E82463">
        <w:rPr>
          <w:rFonts w:ascii="Times New Roman" w:hAnsi="Times New Roman"/>
          <w:sz w:val="22"/>
          <w:szCs w:val="22"/>
          <w:lang w:val="en-GB"/>
        </w:rPr>
        <w:t xml:space="preserve">if </w:t>
      </w:r>
      <w:r w:rsidRPr="00E82463">
        <w:rPr>
          <w:rFonts w:ascii="Times New Roman" w:hAnsi="Times New Roman"/>
          <w:sz w:val="22"/>
          <w:szCs w:val="22"/>
          <w:lang w:val="en-GB"/>
        </w:rPr>
        <w:t>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47783A" w:rsidRPr="00E82463" w:rsidRDefault="0047783A" w:rsidP="0047783A">
      <w:pPr>
        <w:pStyle w:val="StyleHeading1TimesNewRoman14ptItalic"/>
        <w:numPr>
          <w:ilvl w:val="0"/>
          <w:numId w:val="2"/>
        </w:numPr>
        <w:tabs>
          <w:tab w:val="clear" w:pos="567"/>
        </w:tabs>
        <w:spacing w:before="120" w:after="120"/>
        <w:rPr>
          <w:lang w:val="en-GB"/>
        </w:rPr>
      </w:pPr>
      <w:bookmarkStart w:id="35" w:name="_Toc42488093"/>
      <w:r w:rsidRPr="00E82463">
        <w:rPr>
          <w:lang w:val="en-GB"/>
        </w:rPr>
        <w:t>Cancellation of the tender procedure</w:t>
      </w:r>
      <w:bookmarkEnd w:id="35"/>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tenderers will be notified by the Contracting Authority.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the tender procedure has been unsuccessful, namely where no qualitatively or financially worthwhile 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all technically compliant 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there have been irregularities 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w:t>
      </w:r>
      <w:r w:rsidR="00171C45" w:rsidRPr="00E82463">
        <w:rPr>
          <w:b/>
          <w:sz w:val="22"/>
          <w:szCs w:val="22"/>
        </w:rPr>
        <w:t>contract notice</w:t>
      </w:r>
      <w:r w:rsidRPr="00E82463">
        <w:rPr>
          <w:b/>
          <w:sz w:val="22"/>
          <w:szCs w:val="22"/>
        </w:rPr>
        <w:t xml:space="preserve"> does not commit the Contracting Authority to implement the programme or project announced.</w:t>
      </w:r>
    </w:p>
    <w:p w:rsidR="0047783A" w:rsidRPr="00E82463" w:rsidRDefault="0047783A" w:rsidP="0047783A">
      <w:pPr>
        <w:pStyle w:val="StyleHeading1TimesNewRoman14ptItalic"/>
        <w:numPr>
          <w:ilvl w:val="0"/>
          <w:numId w:val="2"/>
        </w:numPr>
        <w:tabs>
          <w:tab w:val="clear" w:pos="567"/>
        </w:tabs>
        <w:spacing w:before="120" w:after="120"/>
        <w:rPr>
          <w:lang w:val="en-GB"/>
        </w:rPr>
      </w:pPr>
      <w:r w:rsidRPr="00E82463">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Tenderers believing that they have been harmed by an error or irregularity during the award process may file a complaint. See section 2.4.15 of the Practical Guide.</w:t>
      </w:r>
    </w:p>
    <w:p w:rsidR="0047783A" w:rsidRPr="00E82463" w:rsidRDefault="0047783A" w:rsidP="0047783A">
      <w:pPr>
        <w:pStyle w:val="StyleHeading1TimesNewRoman14ptItalic"/>
        <w:numPr>
          <w:ilvl w:val="0"/>
          <w:numId w:val="2"/>
        </w:numPr>
        <w:tabs>
          <w:tab w:val="clear" w:pos="567"/>
        </w:tabs>
        <w:spacing w:before="120" w:after="120"/>
        <w:rPr>
          <w:lang w:val="en-GB"/>
        </w:rPr>
      </w:pPr>
      <w:r w:rsidRPr="00E82463">
        <w:rPr>
          <w:lang w:val="en-GB"/>
        </w:rPr>
        <w:t>Data Protection</w:t>
      </w:r>
    </w:p>
    <w:p w:rsidR="0047783A" w:rsidRPr="00E82463" w:rsidRDefault="0047783A" w:rsidP="0047783A">
      <w:pPr>
        <w:pStyle w:val="BodyText"/>
        <w:ind w:left="567"/>
        <w:jc w:val="both"/>
        <w:rPr>
          <w:rFonts w:ascii="Times New Roman" w:hAnsi="Times New Roman"/>
          <w:sz w:val="22"/>
          <w:szCs w:val="22"/>
        </w:rPr>
      </w:pPr>
      <w:r w:rsidRPr="00E82463">
        <w:rPr>
          <w:rFonts w:ascii="Times New Roman" w:hAnsi="Times New Roman"/>
          <w:sz w:val="22"/>
          <w:szCs w:val="22"/>
        </w:rPr>
        <w:t>If processing your reply to the invitation to tender involves the recording and processing of personal data (such as names, addresses and CVs), such data will be processed</w:t>
      </w:r>
      <w:r w:rsidR="009514EC" w:rsidRPr="00E82463">
        <w:rPr>
          <w:rStyle w:val="FootnoteReference"/>
          <w:rFonts w:ascii="Times New Roman" w:hAnsi="Times New Roman"/>
          <w:sz w:val="22"/>
          <w:szCs w:val="22"/>
        </w:rPr>
        <w:footnoteReference w:id="5"/>
      </w:r>
      <w:r w:rsidRPr="00E82463">
        <w:rPr>
          <w:rFonts w:ascii="Times New Roman" w:hAnsi="Times New Roman"/>
          <w:sz w:val="22"/>
          <w:szCs w:val="22"/>
        </w:rPr>
        <w:t xml:space="preserve"> </w:t>
      </w:r>
      <w:r w:rsidR="00E637DD" w:rsidRPr="00E82463">
        <w:rPr>
          <w:rFonts w:ascii="Times New Roman" w:hAnsi="Times New Roman"/>
          <w:sz w:val="22"/>
          <w:szCs w:val="22"/>
        </w:rPr>
        <w:t xml:space="preserve">solely for the purposes of the performance management and monitoring of the tender and of the contract by the data controller without prejudice to possible transmission to the bodies charge with monitoring or inspection tasks in application of Union law. </w:t>
      </w:r>
      <w:r w:rsidRPr="00E82463">
        <w:rPr>
          <w:rFonts w:ascii="Times New Roman" w:hAnsi="Times New Roman"/>
          <w:sz w:val="22"/>
          <w:szCs w:val="22"/>
        </w:rPr>
        <w:t xml:space="preserve">Details concerning processing of your personal data are available on the privacy statement at </w:t>
      </w:r>
    </w:p>
    <w:p w:rsidR="001160E5" w:rsidRPr="00E82463" w:rsidRDefault="001160E5" w:rsidP="00E82463">
      <w:pPr>
        <w:pStyle w:val="BodyText2"/>
        <w:tabs>
          <w:tab w:val="clear" w:pos="567"/>
        </w:tabs>
        <w:ind w:left="567"/>
        <w:rPr>
          <w:sz w:val="22"/>
          <w:szCs w:val="22"/>
        </w:rPr>
      </w:pPr>
      <w:hyperlink r:id="rId11" w:history="1">
        <w:r w:rsidRPr="00E82463">
          <w:rPr>
            <w:rStyle w:val="Hyperlink"/>
            <w:sz w:val="22"/>
            <w:szCs w:val="22"/>
          </w:rPr>
          <w:t>http://aideprgp.cc.cec.eu.int:1261/europeaid/prag/annexes.do?group=A&amp;locale=en</w:t>
        </w:r>
      </w:hyperlink>
      <w:r w:rsidRPr="00E82463">
        <w:rPr>
          <w:sz w:val="22"/>
          <w:szCs w:val="22"/>
        </w:rPr>
        <w:t xml:space="preserve"> </w:t>
      </w:r>
      <w:r w:rsidRPr="00E82463">
        <w:rPr>
          <w:sz w:val="22"/>
          <w:szCs w:val="22"/>
          <w:vertAlign w:val="superscript"/>
        </w:rPr>
        <w:footnoteReference w:id="6"/>
      </w:r>
      <w:r w:rsidR="00130EF1" w:rsidRPr="00E82463">
        <w:rPr>
          <w:sz w:val="22"/>
          <w:szCs w:val="22"/>
        </w:rPr>
        <w:t>.</w:t>
      </w:r>
    </w:p>
    <w:p w:rsidR="009514EC" w:rsidRPr="00E82463" w:rsidRDefault="009514EC" w:rsidP="00E82463">
      <w:pPr>
        <w:pStyle w:val="BodyText2"/>
        <w:tabs>
          <w:tab w:val="clear" w:pos="567"/>
        </w:tabs>
        <w:spacing w:before="120"/>
        <w:ind w:left="567"/>
        <w:rPr>
          <w:sz w:val="22"/>
          <w:szCs w:val="22"/>
        </w:rPr>
      </w:pPr>
      <w:r w:rsidRPr="00E82463">
        <w:rPr>
          <w:sz w:val="22"/>
          <w:szCs w:val="22"/>
        </w:rPr>
        <w:t>For EuropeAid: The Controller of your call for</w:t>
      </w:r>
      <w:r w:rsidR="00B67E67">
        <w:rPr>
          <w:sz w:val="22"/>
          <w:szCs w:val="22"/>
        </w:rPr>
        <w:t xml:space="preserve"> tenders is the Head of Unit R3.</w:t>
      </w:r>
    </w:p>
    <w:sectPr w:rsidR="009514EC"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91C" w:rsidRPr="006A5F84" w:rsidRDefault="0080191C">
      <w:r w:rsidRPr="006A5F84">
        <w:separator/>
      </w:r>
    </w:p>
  </w:endnote>
  <w:endnote w:type="continuationSeparator" w:id="1">
    <w:p w:rsidR="0080191C" w:rsidRPr="006A5F84" w:rsidRDefault="0080191C">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A55597"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szCs w:val="18"/>
      </w:rPr>
      <w:t>2014</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2A10D2">
      <w:rPr>
        <w:rStyle w:val="PageNumber"/>
        <w:rFonts w:ascii="Times New Roman" w:hAnsi="Times New Roman"/>
        <w:noProof/>
        <w:sz w:val="18"/>
        <w:szCs w:val="18"/>
      </w:rPr>
      <w:t>9</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2A10D2">
      <w:rPr>
        <w:rStyle w:val="PageNumber"/>
        <w:rFonts w:ascii="Times New Roman" w:hAnsi="Times New Roman"/>
        <w:noProof/>
        <w:sz w:val="18"/>
        <w:szCs w:val="18"/>
      </w:rPr>
      <w:t>9</w:t>
    </w:r>
    <w:r w:rsidR="00A77708" w:rsidRPr="009423FB">
      <w:rPr>
        <w:rStyle w:val="PageNumber"/>
        <w:rFonts w:ascii="Times New Roman" w:hAnsi="Times New Roman"/>
        <w:sz w:val="18"/>
        <w:szCs w:val="18"/>
      </w:rPr>
      <w:fldChar w:fldCharType="end"/>
    </w:r>
  </w:p>
  <w:p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E82463">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91C" w:rsidRPr="006A5F84" w:rsidRDefault="0080191C">
      <w:r w:rsidRPr="006A5F84">
        <w:separator/>
      </w:r>
    </w:p>
  </w:footnote>
  <w:footnote w:type="continuationSeparator" w:id="1">
    <w:p w:rsidR="0080191C" w:rsidRPr="006A5F84" w:rsidRDefault="0080191C">
      <w:r w:rsidRPr="006A5F84">
        <w:continuationSeparator/>
      </w:r>
    </w:p>
  </w:footnote>
  <w:footnote w:id="2">
    <w:p w:rsidR="00A77708" w:rsidRPr="006A5F84" w:rsidRDefault="00A77708" w:rsidP="00CF63C2">
      <w:pPr>
        <w:pStyle w:val="FootnoteText"/>
        <w:ind w:left="284" w:hanging="284"/>
        <w:rPr>
          <w:rFonts w:ascii="Times New Roman" w:hAnsi="Times New Roman"/>
          <w:lang w:val="en-GB"/>
        </w:rPr>
      </w:pPr>
      <w:r w:rsidRPr="006A5F84">
        <w:rPr>
          <w:rStyle w:val="FootnoteReference"/>
          <w:rFonts w:ascii="Times New Roman" w:hAnsi="Times New Roman"/>
          <w:lang w:val="en-GB"/>
        </w:rPr>
        <w:footnoteRef/>
      </w:r>
      <w:r w:rsidRPr="006A5F84">
        <w:rPr>
          <w:rFonts w:ascii="Times New Roman" w:hAnsi="Times New Roman"/>
          <w:lang w:val="en-GB"/>
        </w:rPr>
        <w:tab/>
      </w:r>
      <w:r w:rsidRPr="009401AF">
        <w:rPr>
          <w:rFonts w:ascii="Times New Roman" w:hAnsi="Times New Roman"/>
          <w:lang w:val="en-GB"/>
        </w:rPr>
        <w:t>&lt;DDP (Delivered Duty Paid)&gt;/&lt;DAP (Delivered At Place)&gt; — Incoterms 2010 International Chamber of</w:t>
      </w:r>
      <w:r w:rsidRPr="006A5F84">
        <w:rPr>
          <w:rFonts w:ascii="Times New Roman" w:hAnsi="Times New Roman"/>
          <w:lang w:val="en-GB"/>
        </w:rPr>
        <w:t xml:space="preserve"> Commerce </w:t>
      </w:r>
      <w:hyperlink r:id="rId1" w:history="1">
        <w:r w:rsidR="00E82463" w:rsidRPr="00FC1D90">
          <w:rPr>
            <w:rStyle w:val="Hyperlink"/>
            <w:rFonts w:ascii="Times New Roman" w:hAnsi="Times New Roman"/>
            <w:lang w:val="en-GB"/>
          </w:rPr>
          <w:t>http://www.iccwbo.org/products-and-services/trade-facilitation/incoterms-2010/the-incoterms-rules/</w:t>
        </w:r>
      </w:hyperlink>
      <w:r w:rsidR="00E82463">
        <w:rPr>
          <w:rFonts w:ascii="Times New Roman" w:hAnsi="Times New Roman"/>
          <w:lang w:val="en-GB"/>
        </w:rPr>
        <w:t xml:space="preserve"> </w:t>
      </w:r>
      <w:r>
        <w:rPr>
          <w:rFonts w:ascii="Times New Roman" w:hAnsi="Times New Roman"/>
          <w:lang w:val="en-GB"/>
        </w:rPr>
        <w:t>.</w:t>
      </w:r>
    </w:p>
  </w:footnote>
  <w:footnote w:id="3">
    <w:p w:rsidR="00A77708" w:rsidRPr="006A5F84" w:rsidRDefault="00A77708" w:rsidP="00AC07D4">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A77708" w:rsidRPr="006A5F84" w:rsidRDefault="00A77708" w:rsidP="00AC07D4">
      <w:pPr>
        <w:pStyle w:val="FootnoteText"/>
        <w:ind w:left="142" w:hanging="142"/>
        <w:rPr>
          <w:rFonts w:ascii="Times New Roman" w:hAnsi="Times New Roman"/>
          <w:lang w:val="en-GB"/>
        </w:rPr>
      </w:pPr>
      <w:r w:rsidRPr="006A5F84">
        <w:rPr>
          <w:rStyle w:val="FootnoteReference"/>
          <w:lang w:val="en-GB"/>
        </w:rPr>
        <w:footnoteRef/>
      </w:r>
      <w:r>
        <w:rPr>
          <w:rFonts w:ascii="Times New Roman" w:hAnsi="Times New Roman"/>
          <w:lang w:val="en-GB"/>
        </w:rPr>
        <w:tab/>
      </w:r>
      <w:r w:rsidRPr="00FD52F6">
        <w:rPr>
          <w:rFonts w:ascii="Times New Roman" w:hAnsi="Times New Roman"/>
          <w:lang w:val="en-GB"/>
        </w:rPr>
        <w:t>&lt;DDP (Delivered Duty Paid)&gt;/&lt;DAP (Delivered At Place)&gt;</w:t>
      </w:r>
      <w:r w:rsidRPr="006A5F84">
        <w:rPr>
          <w:rFonts w:ascii="Times New Roman" w:hAnsi="Times New Roman"/>
          <w:lang w:val="en-GB"/>
        </w:rPr>
        <w:t xml:space="preserve"> </w:t>
      </w:r>
      <w:r>
        <w:rPr>
          <w:rFonts w:ascii="Times New Roman" w:hAnsi="Times New Roman"/>
          <w:lang w:val="en-GB"/>
        </w:rPr>
        <w:t>—</w:t>
      </w:r>
      <w:r w:rsidRPr="006A5F84">
        <w:rPr>
          <w:rFonts w:ascii="Times New Roman" w:hAnsi="Times New Roman"/>
          <w:lang w:val="en-GB"/>
        </w:rPr>
        <w:t xml:space="preserve"> Incoterms 2010 International Chamber of Commerce </w:t>
      </w:r>
      <w:hyperlink r:id="rId2" w:history="1">
        <w:r w:rsidR="00E82463" w:rsidRPr="00FC1D90">
          <w:rPr>
            <w:rStyle w:val="Hyperlink"/>
            <w:rFonts w:ascii="Times New Roman" w:hAnsi="Times New Roman"/>
            <w:lang w:val="en-GB"/>
          </w:rPr>
          <w:t>http://www.iccwbo.org/products-and-services/trade-facilitation/incoterms-2010/the-incoterms-rules/</w:t>
        </w:r>
      </w:hyperlink>
      <w:r w:rsidR="00E82463">
        <w:rPr>
          <w:rFonts w:ascii="Times New Roman" w:hAnsi="Times New Roman"/>
          <w:lang w:val="en-GB"/>
        </w:rPr>
        <w:t xml:space="preserve"> </w:t>
      </w:r>
      <w:r>
        <w:rPr>
          <w:rFonts w:ascii="Times New Roman" w:hAnsi="Times New Roman"/>
          <w:lang w:val="en-GB"/>
        </w:rPr>
        <w:t>.</w:t>
      </w:r>
    </w:p>
  </w:footnote>
  <w:footnote w:id="5">
    <w:p w:rsidR="00A77708" w:rsidRPr="00130EF1" w:rsidRDefault="00A77708" w:rsidP="0055227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sidR="00AF507E">
        <w:rPr>
          <w:rFonts w:ascii="Times New Roman" w:hAnsi="Times New Roman"/>
          <w:lang w:val="en-GB"/>
        </w:rPr>
        <w:t>P</w:t>
      </w:r>
      <w:r w:rsidR="00AF507E" w:rsidRPr="00130EF1">
        <w:rPr>
          <w:rFonts w:ascii="Times New Roman" w:hAnsi="Times New Roman"/>
          <w:lang w:val="en-GB"/>
        </w:rPr>
        <w:t xml:space="preserve">ursuant </w:t>
      </w:r>
      <w:r w:rsidRPr="00130EF1">
        <w:rPr>
          <w:rFonts w:ascii="Times New Roman" w:hAnsi="Times New Roman"/>
          <w:lang w:val="en-GB"/>
        </w:rPr>
        <w:t xml:space="preserve">to Regulation (EC) No 45/2001 on the protection of individuals with regard to the processing of personal data by the Community institutions and bodies and on the free movement of such data. </w:t>
      </w:r>
    </w:p>
  </w:footnote>
  <w:footnote w:id="6">
    <w:p w:rsidR="001160E5" w:rsidRPr="00130EF1" w:rsidRDefault="001160E5" w:rsidP="0055227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sidR="00950813">
        <w:rPr>
          <w:rFonts w:ascii="Times New Roman" w:hAnsi="Times New Roman"/>
          <w:lang w:val="en-GB"/>
        </w:rPr>
        <w:t>Practical Guide</w:t>
      </w:r>
      <w:r w:rsidR="00950813" w:rsidRPr="00130EF1">
        <w:rPr>
          <w:rFonts w:ascii="Times New Roman" w:hAnsi="Times New Roman"/>
          <w:lang w:val="en-GB"/>
        </w:rPr>
        <w:t xml:space="preserve"> </w:t>
      </w:r>
      <w:r w:rsidRPr="00130EF1">
        <w:rPr>
          <w:rFonts w:ascii="Times New Roman" w:hAnsi="Times New Roman"/>
          <w:lang w:val="en-GB"/>
        </w:rPr>
        <w:t>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9216D6C"/>
    <w:multiLevelType w:val="multilevel"/>
    <w:tmpl w:val="36C8EFF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10"/>
  </w:num>
  <w:num w:numId="5">
    <w:abstractNumId w:val="20"/>
  </w:num>
  <w:num w:numId="6">
    <w:abstractNumId w:val="6"/>
  </w:num>
  <w:num w:numId="7">
    <w:abstractNumId w:val="3"/>
  </w:num>
  <w:num w:numId="8">
    <w:abstractNumId w:val="0"/>
  </w:num>
  <w:num w:numId="9">
    <w:abstractNumId w:val="11"/>
  </w:num>
  <w:num w:numId="10">
    <w:abstractNumId w:val="2"/>
  </w:num>
  <w:num w:numId="11">
    <w:abstractNumId w:val="17"/>
  </w:num>
  <w:num w:numId="12">
    <w:abstractNumId w:val="9"/>
  </w:num>
  <w:num w:numId="13">
    <w:abstractNumId w:val="4"/>
  </w:num>
  <w:num w:numId="14">
    <w:abstractNumId w:val="15"/>
  </w:num>
  <w:num w:numId="15">
    <w:abstractNumId w:val="16"/>
  </w:num>
  <w:num w:numId="16">
    <w:abstractNumId w:val="5"/>
  </w:num>
  <w:num w:numId="17">
    <w:abstractNumId w:val="12"/>
  </w:num>
  <w:num w:numId="18">
    <w:abstractNumId w:val="8"/>
  </w:num>
  <w:num w:numId="19">
    <w:abstractNumId w:val="8"/>
  </w:num>
  <w:num w:numId="20">
    <w:abstractNumId w:val="21"/>
  </w:num>
  <w:num w:numId="21">
    <w:abstractNumId w:val="14"/>
  </w:num>
  <w:num w:numId="22">
    <w:abstractNumId w:val="13"/>
  </w:num>
  <w:num w:numId="23">
    <w:abstractNumId w:val="1"/>
  </w:num>
  <w:num w:numId="2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cVars>
    <w:docVar w:name="LW_DocType" w:val="NORMAL"/>
    <w:docVar w:name="Stamp" w:val="\\dossiers.dgt.cec.eu.int\dossiers\DEVCO\DEVCO-2011-00112\DEVCO-2011-00112-01-04-EN-REV-00.DOC"/>
  </w:docVars>
  <w:rsids>
    <w:rsidRoot w:val="0073450F"/>
    <w:rsid w:val="000012FD"/>
    <w:rsid w:val="000021E1"/>
    <w:rsid w:val="00007DCD"/>
    <w:rsid w:val="000167B8"/>
    <w:rsid w:val="00027333"/>
    <w:rsid w:val="00030464"/>
    <w:rsid w:val="00040153"/>
    <w:rsid w:val="00040CF1"/>
    <w:rsid w:val="00041516"/>
    <w:rsid w:val="000417E2"/>
    <w:rsid w:val="00043159"/>
    <w:rsid w:val="0004517D"/>
    <w:rsid w:val="00050C50"/>
    <w:rsid w:val="00051AE7"/>
    <w:rsid w:val="00051DD7"/>
    <w:rsid w:val="0005446F"/>
    <w:rsid w:val="00056EAA"/>
    <w:rsid w:val="000574F3"/>
    <w:rsid w:val="00062BA9"/>
    <w:rsid w:val="00063C56"/>
    <w:rsid w:val="00063C70"/>
    <w:rsid w:val="00064BDF"/>
    <w:rsid w:val="000665DF"/>
    <w:rsid w:val="00066CBA"/>
    <w:rsid w:val="000714BB"/>
    <w:rsid w:val="0007671B"/>
    <w:rsid w:val="0008592A"/>
    <w:rsid w:val="00085CA1"/>
    <w:rsid w:val="00087F35"/>
    <w:rsid w:val="0009286D"/>
    <w:rsid w:val="000A1A71"/>
    <w:rsid w:val="000A3B36"/>
    <w:rsid w:val="000A7A2C"/>
    <w:rsid w:val="000B0983"/>
    <w:rsid w:val="000B1236"/>
    <w:rsid w:val="000B79F6"/>
    <w:rsid w:val="000C4AE6"/>
    <w:rsid w:val="000D0118"/>
    <w:rsid w:val="000D24E3"/>
    <w:rsid w:val="000D2B44"/>
    <w:rsid w:val="000D40DB"/>
    <w:rsid w:val="000E0DB4"/>
    <w:rsid w:val="000E291F"/>
    <w:rsid w:val="000E7B75"/>
    <w:rsid w:val="000F124B"/>
    <w:rsid w:val="000F1339"/>
    <w:rsid w:val="000F5F5F"/>
    <w:rsid w:val="00103348"/>
    <w:rsid w:val="00103913"/>
    <w:rsid w:val="00104B37"/>
    <w:rsid w:val="0010518E"/>
    <w:rsid w:val="00111B28"/>
    <w:rsid w:val="00115916"/>
    <w:rsid w:val="00115A3D"/>
    <w:rsid w:val="001160E5"/>
    <w:rsid w:val="00121DE4"/>
    <w:rsid w:val="00123EDC"/>
    <w:rsid w:val="0012677D"/>
    <w:rsid w:val="001302A7"/>
    <w:rsid w:val="001309AB"/>
    <w:rsid w:val="00130EF1"/>
    <w:rsid w:val="001320DF"/>
    <w:rsid w:val="0014659F"/>
    <w:rsid w:val="00150767"/>
    <w:rsid w:val="001515E4"/>
    <w:rsid w:val="001536B3"/>
    <w:rsid w:val="00157C6D"/>
    <w:rsid w:val="00157DEE"/>
    <w:rsid w:val="001645AC"/>
    <w:rsid w:val="00164F15"/>
    <w:rsid w:val="00171C45"/>
    <w:rsid w:val="001766D9"/>
    <w:rsid w:val="00181980"/>
    <w:rsid w:val="00187253"/>
    <w:rsid w:val="001932AF"/>
    <w:rsid w:val="001937B4"/>
    <w:rsid w:val="001976A6"/>
    <w:rsid w:val="001A1207"/>
    <w:rsid w:val="001A64D9"/>
    <w:rsid w:val="001A6C79"/>
    <w:rsid w:val="001B5454"/>
    <w:rsid w:val="001D0532"/>
    <w:rsid w:val="001D20C7"/>
    <w:rsid w:val="001D339B"/>
    <w:rsid w:val="001E4648"/>
    <w:rsid w:val="001F0DE5"/>
    <w:rsid w:val="001F410B"/>
    <w:rsid w:val="001F5421"/>
    <w:rsid w:val="001F7658"/>
    <w:rsid w:val="002012E1"/>
    <w:rsid w:val="00201CF7"/>
    <w:rsid w:val="0020615A"/>
    <w:rsid w:val="00211229"/>
    <w:rsid w:val="00211E0F"/>
    <w:rsid w:val="00216F0D"/>
    <w:rsid w:val="00217E61"/>
    <w:rsid w:val="002209F1"/>
    <w:rsid w:val="00220BF7"/>
    <w:rsid w:val="00224C44"/>
    <w:rsid w:val="00225CDC"/>
    <w:rsid w:val="00227A8C"/>
    <w:rsid w:val="002426D3"/>
    <w:rsid w:val="002442B7"/>
    <w:rsid w:val="002455C7"/>
    <w:rsid w:val="002463B3"/>
    <w:rsid w:val="0025137A"/>
    <w:rsid w:val="002514D1"/>
    <w:rsid w:val="002560BB"/>
    <w:rsid w:val="002561C8"/>
    <w:rsid w:val="00264ACD"/>
    <w:rsid w:val="0026542C"/>
    <w:rsid w:val="00271700"/>
    <w:rsid w:val="00272A7B"/>
    <w:rsid w:val="00272D32"/>
    <w:rsid w:val="0028364A"/>
    <w:rsid w:val="00290561"/>
    <w:rsid w:val="00294190"/>
    <w:rsid w:val="002A0041"/>
    <w:rsid w:val="002A10D2"/>
    <w:rsid w:val="002B6401"/>
    <w:rsid w:val="002B7402"/>
    <w:rsid w:val="002C1ED8"/>
    <w:rsid w:val="002C649A"/>
    <w:rsid w:val="002D0CE1"/>
    <w:rsid w:val="002D1FCC"/>
    <w:rsid w:val="002D2FC0"/>
    <w:rsid w:val="002D6EED"/>
    <w:rsid w:val="002F1222"/>
    <w:rsid w:val="002F530E"/>
    <w:rsid w:val="003061F8"/>
    <w:rsid w:val="00322263"/>
    <w:rsid w:val="003308C6"/>
    <w:rsid w:val="003320FF"/>
    <w:rsid w:val="0033212F"/>
    <w:rsid w:val="00335E06"/>
    <w:rsid w:val="003409B8"/>
    <w:rsid w:val="00347B7E"/>
    <w:rsid w:val="003502E9"/>
    <w:rsid w:val="0035089B"/>
    <w:rsid w:val="00351351"/>
    <w:rsid w:val="003551F4"/>
    <w:rsid w:val="003568F8"/>
    <w:rsid w:val="00360344"/>
    <w:rsid w:val="003613D2"/>
    <w:rsid w:val="00371851"/>
    <w:rsid w:val="00371F01"/>
    <w:rsid w:val="003721AD"/>
    <w:rsid w:val="00372540"/>
    <w:rsid w:val="00384ABB"/>
    <w:rsid w:val="00384BAB"/>
    <w:rsid w:val="00385FFC"/>
    <w:rsid w:val="00387C56"/>
    <w:rsid w:val="003925E9"/>
    <w:rsid w:val="003A02A1"/>
    <w:rsid w:val="003A474A"/>
    <w:rsid w:val="003C7266"/>
    <w:rsid w:val="003D2078"/>
    <w:rsid w:val="003D3CAA"/>
    <w:rsid w:val="003D7011"/>
    <w:rsid w:val="003D7611"/>
    <w:rsid w:val="003E7C71"/>
    <w:rsid w:val="003F2FA4"/>
    <w:rsid w:val="003F3B51"/>
    <w:rsid w:val="003F4953"/>
    <w:rsid w:val="003F7AF5"/>
    <w:rsid w:val="003F7DB7"/>
    <w:rsid w:val="0040221E"/>
    <w:rsid w:val="0040595A"/>
    <w:rsid w:val="004072FA"/>
    <w:rsid w:val="00420666"/>
    <w:rsid w:val="004300D4"/>
    <w:rsid w:val="004316F0"/>
    <w:rsid w:val="004365AD"/>
    <w:rsid w:val="004434F8"/>
    <w:rsid w:val="0045310F"/>
    <w:rsid w:val="004554CB"/>
    <w:rsid w:val="004607CD"/>
    <w:rsid w:val="004775D2"/>
    <w:rsid w:val="0047783A"/>
    <w:rsid w:val="00483E26"/>
    <w:rsid w:val="0049088E"/>
    <w:rsid w:val="00494168"/>
    <w:rsid w:val="004A0140"/>
    <w:rsid w:val="004A101E"/>
    <w:rsid w:val="004A7ED9"/>
    <w:rsid w:val="004C265E"/>
    <w:rsid w:val="004C35B5"/>
    <w:rsid w:val="004D2FD8"/>
    <w:rsid w:val="004D6D1E"/>
    <w:rsid w:val="004F1264"/>
    <w:rsid w:val="004F1E58"/>
    <w:rsid w:val="004F5C57"/>
    <w:rsid w:val="005005D7"/>
    <w:rsid w:val="00501FF0"/>
    <w:rsid w:val="00515616"/>
    <w:rsid w:val="00516552"/>
    <w:rsid w:val="00533C8D"/>
    <w:rsid w:val="00535826"/>
    <w:rsid w:val="00536B4A"/>
    <w:rsid w:val="00537189"/>
    <w:rsid w:val="00545957"/>
    <w:rsid w:val="00552278"/>
    <w:rsid w:val="00556923"/>
    <w:rsid w:val="005634B2"/>
    <w:rsid w:val="00575CB0"/>
    <w:rsid w:val="00582894"/>
    <w:rsid w:val="00586D6C"/>
    <w:rsid w:val="00591F23"/>
    <w:rsid w:val="00593550"/>
    <w:rsid w:val="0059371A"/>
    <w:rsid w:val="005B2018"/>
    <w:rsid w:val="005C0EA1"/>
    <w:rsid w:val="005D72F7"/>
    <w:rsid w:val="005E0B76"/>
    <w:rsid w:val="005F3C51"/>
    <w:rsid w:val="005F62D0"/>
    <w:rsid w:val="006164B8"/>
    <w:rsid w:val="006311FE"/>
    <w:rsid w:val="00633829"/>
    <w:rsid w:val="00636E8F"/>
    <w:rsid w:val="006408AC"/>
    <w:rsid w:val="00640D24"/>
    <w:rsid w:val="00644483"/>
    <w:rsid w:val="00661B3C"/>
    <w:rsid w:val="0066519D"/>
    <w:rsid w:val="00677500"/>
    <w:rsid w:val="0068247E"/>
    <w:rsid w:val="006917B2"/>
    <w:rsid w:val="00692095"/>
    <w:rsid w:val="006A5F84"/>
    <w:rsid w:val="006B0AB1"/>
    <w:rsid w:val="006B3EAE"/>
    <w:rsid w:val="006C2F05"/>
    <w:rsid w:val="006C513D"/>
    <w:rsid w:val="006D3BA1"/>
    <w:rsid w:val="006E56FD"/>
    <w:rsid w:val="006E6880"/>
    <w:rsid w:val="006F43E5"/>
    <w:rsid w:val="00702131"/>
    <w:rsid w:val="00711C72"/>
    <w:rsid w:val="0071243A"/>
    <w:rsid w:val="00723C11"/>
    <w:rsid w:val="00724D0C"/>
    <w:rsid w:val="007307A9"/>
    <w:rsid w:val="0073450F"/>
    <w:rsid w:val="0075384B"/>
    <w:rsid w:val="00754D2B"/>
    <w:rsid w:val="00760195"/>
    <w:rsid w:val="007625F7"/>
    <w:rsid w:val="00763B1C"/>
    <w:rsid w:val="007666CD"/>
    <w:rsid w:val="00776BF7"/>
    <w:rsid w:val="00777E99"/>
    <w:rsid w:val="00792A1B"/>
    <w:rsid w:val="0079405A"/>
    <w:rsid w:val="007A0045"/>
    <w:rsid w:val="007A01BB"/>
    <w:rsid w:val="007B65DB"/>
    <w:rsid w:val="007C0BDD"/>
    <w:rsid w:val="007C1656"/>
    <w:rsid w:val="007C75E0"/>
    <w:rsid w:val="007D5FA2"/>
    <w:rsid w:val="007E0CD5"/>
    <w:rsid w:val="007E3D5F"/>
    <w:rsid w:val="007E597D"/>
    <w:rsid w:val="007F6802"/>
    <w:rsid w:val="0080191C"/>
    <w:rsid w:val="00806CE0"/>
    <w:rsid w:val="00811F58"/>
    <w:rsid w:val="0081418B"/>
    <w:rsid w:val="00814C3A"/>
    <w:rsid w:val="00815C27"/>
    <w:rsid w:val="008227A5"/>
    <w:rsid w:val="00822E7E"/>
    <w:rsid w:val="008272ED"/>
    <w:rsid w:val="00853F9D"/>
    <w:rsid w:val="0085667F"/>
    <w:rsid w:val="008617F3"/>
    <w:rsid w:val="008670ED"/>
    <w:rsid w:val="00870FD6"/>
    <w:rsid w:val="008718AA"/>
    <w:rsid w:val="00872830"/>
    <w:rsid w:val="008808CB"/>
    <w:rsid w:val="008847D1"/>
    <w:rsid w:val="00885882"/>
    <w:rsid w:val="008859E6"/>
    <w:rsid w:val="00891D12"/>
    <w:rsid w:val="00892CE9"/>
    <w:rsid w:val="008934F5"/>
    <w:rsid w:val="008A048D"/>
    <w:rsid w:val="008A39B7"/>
    <w:rsid w:val="008C4E79"/>
    <w:rsid w:val="008C5A40"/>
    <w:rsid w:val="008C5DAA"/>
    <w:rsid w:val="008E40E2"/>
    <w:rsid w:val="008F3866"/>
    <w:rsid w:val="009143FD"/>
    <w:rsid w:val="00920A51"/>
    <w:rsid w:val="00922542"/>
    <w:rsid w:val="009251E3"/>
    <w:rsid w:val="0093582A"/>
    <w:rsid w:val="009401AF"/>
    <w:rsid w:val="009423FB"/>
    <w:rsid w:val="0094670B"/>
    <w:rsid w:val="00947FC3"/>
    <w:rsid w:val="00950813"/>
    <w:rsid w:val="009514EC"/>
    <w:rsid w:val="00980A42"/>
    <w:rsid w:val="009976B3"/>
    <w:rsid w:val="009A3792"/>
    <w:rsid w:val="009A3A53"/>
    <w:rsid w:val="009A538A"/>
    <w:rsid w:val="009B0CF1"/>
    <w:rsid w:val="009B1FBF"/>
    <w:rsid w:val="009B2F1F"/>
    <w:rsid w:val="009B422E"/>
    <w:rsid w:val="009B4D6F"/>
    <w:rsid w:val="009B5A6D"/>
    <w:rsid w:val="009C0E86"/>
    <w:rsid w:val="009D2938"/>
    <w:rsid w:val="009E04E4"/>
    <w:rsid w:val="009E48A3"/>
    <w:rsid w:val="009E4FC6"/>
    <w:rsid w:val="009E6BB7"/>
    <w:rsid w:val="009F1371"/>
    <w:rsid w:val="009F3126"/>
    <w:rsid w:val="00A039CA"/>
    <w:rsid w:val="00A11F12"/>
    <w:rsid w:val="00A1746F"/>
    <w:rsid w:val="00A4194A"/>
    <w:rsid w:val="00A512A5"/>
    <w:rsid w:val="00A512C9"/>
    <w:rsid w:val="00A539E4"/>
    <w:rsid w:val="00A55597"/>
    <w:rsid w:val="00A56C0B"/>
    <w:rsid w:val="00A62073"/>
    <w:rsid w:val="00A62A7F"/>
    <w:rsid w:val="00A63E3C"/>
    <w:rsid w:val="00A65361"/>
    <w:rsid w:val="00A665A2"/>
    <w:rsid w:val="00A75650"/>
    <w:rsid w:val="00A77708"/>
    <w:rsid w:val="00A845B1"/>
    <w:rsid w:val="00A90875"/>
    <w:rsid w:val="00AA24A4"/>
    <w:rsid w:val="00AA4766"/>
    <w:rsid w:val="00AB26E0"/>
    <w:rsid w:val="00AB29A9"/>
    <w:rsid w:val="00AB3AB0"/>
    <w:rsid w:val="00AB5ED5"/>
    <w:rsid w:val="00AB66A5"/>
    <w:rsid w:val="00AC07D4"/>
    <w:rsid w:val="00AC2621"/>
    <w:rsid w:val="00AC7636"/>
    <w:rsid w:val="00AD5536"/>
    <w:rsid w:val="00AE5192"/>
    <w:rsid w:val="00AE6600"/>
    <w:rsid w:val="00AE7D13"/>
    <w:rsid w:val="00AF2A32"/>
    <w:rsid w:val="00AF4052"/>
    <w:rsid w:val="00AF47CA"/>
    <w:rsid w:val="00AF507E"/>
    <w:rsid w:val="00B07102"/>
    <w:rsid w:val="00B1165D"/>
    <w:rsid w:val="00B17A53"/>
    <w:rsid w:val="00B2499C"/>
    <w:rsid w:val="00B277E4"/>
    <w:rsid w:val="00B30528"/>
    <w:rsid w:val="00B3168E"/>
    <w:rsid w:val="00B3411B"/>
    <w:rsid w:val="00B443C3"/>
    <w:rsid w:val="00B44B08"/>
    <w:rsid w:val="00B44DC5"/>
    <w:rsid w:val="00B4772C"/>
    <w:rsid w:val="00B51209"/>
    <w:rsid w:val="00B569B1"/>
    <w:rsid w:val="00B61CED"/>
    <w:rsid w:val="00B63280"/>
    <w:rsid w:val="00B67E67"/>
    <w:rsid w:val="00B70C0E"/>
    <w:rsid w:val="00B7329A"/>
    <w:rsid w:val="00B80DE8"/>
    <w:rsid w:val="00B8161D"/>
    <w:rsid w:val="00B84EBC"/>
    <w:rsid w:val="00B90C14"/>
    <w:rsid w:val="00B965CD"/>
    <w:rsid w:val="00B9691D"/>
    <w:rsid w:val="00B96E4B"/>
    <w:rsid w:val="00BA204C"/>
    <w:rsid w:val="00BA70CB"/>
    <w:rsid w:val="00BB2075"/>
    <w:rsid w:val="00BB51C8"/>
    <w:rsid w:val="00BB56D3"/>
    <w:rsid w:val="00BC112C"/>
    <w:rsid w:val="00BC3B75"/>
    <w:rsid w:val="00BC6222"/>
    <w:rsid w:val="00BD201F"/>
    <w:rsid w:val="00BD3371"/>
    <w:rsid w:val="00BE34FF"/>
    <w:rsid w:val="00BE3AD8"/>
    <w:rsid w:val="00BF1A9A"/>
    <w:rsid w:val="00C0329C"/>
    <w:rsid w:val="00C07667"/>
    <w:rsid w:val="00C12AF0"/>
    <w:rsid w:val="00C13C29"/>
    <w:rsid w:val="00C17310"/>
    <w:rsid w:val="00C24AB5"/>
    <w:rsid w:val="00C302E1"/>
    <w:rsid w:val="00C3235B"/>
    <w:rsid w:val="00C34E40"/>
    <w:rsid w:val="00C41328"/>
    <w:rsid w:val="00C41919"/>
    <w:rsid w:val="00C42CAE"/>
    <w:rsid w:val="00C54801"/>
    <w:rsid w:val="00C61312"/>
    <w:rsid w:val="00C720C8"/>
    <w:rsid w:val="00C75CCE"/>
    <w:rsid w:val="00C778A1"/>
    <w:rsid w:val="00C86724"/>
    <w:rsid w:val="00C87F4C"/>
    <w:rsid w:val="00C92434"/>
    <w:rsid w:val="00CA1354"/>
    <w:rsid w:val="00CA618A"/>
    <w:rsid w:val="00CA6C68"/>
    <w:rsid w:val="00CB4E1D"/>
    <w:rsid w:val="00CC0A7C"/>
    <w:rsid w:val="00CC7DE2"/>
    <w:rsid w:val="00CD7F25"/>
    <w:rsid w:val="00CF2DE2"/>
    <w:rsid w:val="00CF30C4"/>
    <w:rsid w:val="00CF63C2"/>
    <w:rsid w:val="00CF6CFA"/>
    <w:rsid w:val="00D02E23"/>
    <w:rsid w:val="00D07A31"/>
    <w:rsid w:val="00D1398A"/>
    <w:rsid w:val="00D243E7"/>
    <w:rsid w:val="00D24469"/>
    <w:rsid w:val="00D24893"/>
    <w:rsid w:val="00D312D2"/>
    <w:rsid w:val="00D43612"/>
    <w:rsid w:val="00D44362"/>
    <w:rsid w:val="00D4697C"/>
    <w:rsid w:val="00D52CBF"/>
    <w:rsid w:val="00D576CA"/>
    <w:rsid w:val="00D62067"/>
    <w:rsid w:val="00D662AA"/>
    <w:rsid w:val="00D66F04"/>
    <w:rsid w:val="00D678AC"/>
    <w:rsid w:val="00D70FE8"/>
    <w:rsid w:val="00D71AF3"/>
    <w:rsid w:val="00D735D6"/>
    <w:rsid w:val="00D75213"/>
    <w:rsid w:val="00D83D1B"/>
    <w:rsid w:val="00D90043"/>
    <w:rsid w:val="00D979C6"/>
    <w:rsid w:val="00DA4AB8"/>
    <w:rsid w:val="00DC50E2"/>
    <w:rsid w:val="00DC54A0"/>
    <w:rsid w:val="00DC6C9C"/>
    <w:rsid w:val="00DD005F"/>
    <w:rsid w:val="00DD0624"/>
    <w:rsid w:val="00DD13B0"/>
    <w:rsid w:val="00DE13B8"/>
    <w:rsid w:val="00DE7055"/>
    <w:rsid w:val="00DE71AB"/>
    <w:rsid w:val="00DF25C5"/>
    <w:rsid w:val="00DF2FF3"/>
    <w:rsid w:val="00DF7145"/>
    <w:rsid w:val="00DF7327"/>
    <w:rsid w:val="00E0295D"/>
    <w:rsid w:val="00E13CDE"/>
    <w:rsid w:val="00E14817"/>
    <w:rsid w:val="00E168E3"/>
    <w:rsid w:val="00E2190B"/>
    <w:rsid w:val="00E2682A"/>
    <w:rsid w:val="00E27678"/>
    <w:rsid w:val="00E340A7"/>
    <w:rsid w:val="00E34208"/>
    <w:rsid w:val="00E37290"/>
    <w:rsid w:val="00E37A55"/>
    <w:rsid w:val="00E41C6F"/>
    <w:rsid w:val="00E52467"/>
    <w:rsid w:val="00E52D98"/>
    <w:rsid w:val="00E54B1B"/>
    <w:rsid w:val="00E571E1"/>
    <w:rsid w:val="00E60A37"/>
    <w:rsid w:val="00E6170C"/>
    <w:rsid w:val="00E62221"/>
    <w:rsid w:val="00E62923"/>
    <w:rsid w:val="00E637DD"/>
    <w:rsid w:val="00E730A5"/>
    <w:rsid w:val="00E80269"/>
    <w:rsid w:val="00E811F3"/>
    <w:rsid w:val="00E82463"/>
    <w:rsid w:val="00E84F50"/>
    <w:rsid w:val="00E85F91"/>
    <w:rsid w:val="00EB3B91"/>
    <w:rsid w:val="00EB78F4"/>
    <w:rsid w:val="00EC16F8"/>
    <w:rsid w:val="00EE0ED9"/>
    <w:rsid w:val="00EE23B1"/>
    <w:rsid w:val="00EE2E55"/>
    <w:rsid w:val="00EE6BC0"/>
    <w:rsid w:val="00EF1C05"/>
    <w:rsid w:val="00EF3951"/>
    <w:rsid w:val="00EF6426"/>
    <w:rsid w:val="00F02006"/>
    <w:rsid w:val="00F041A6"/>
    <w:rsid w:val="00F0574A"/>
    <w:rsid w:val="00F10944"/>
    <w:rsid w:val="00F25C38"/>
    <w:rsid w:val="00F33A99"/>
    <w:rsid w:val="00F4528C"/>
    <w:rsid w:val="00F56D4C"/>
    <w:rsid w:val="00F63914"/>
    <w:rsid w:val="00F658F3"/>
    <w:rsid w:val="00F676D0"/>
    <w:rsid w:val="00F67C74"/>
    <w:rsid w:val="00F67D26"/>
    <w:rsid w:val="00F73A7B"/>
    <w:rsid w:val="00F8016B"/>
    <w:rsid w:val="00F804E1"/>
    <w:rsid w:val="00F84AE0"/>
    <w:rsid w:val="00F874CE"/>
    <w:rsid w:val="00F87F88"/>
    <w:rsid w:val="00F90A9F"/>
    <w:rsid w:val="00F91DF6"/>
    <w:rsid w:val="00F962E3"/>
    <w:rsid w:val="00FA3F66"/>
    <w:rsid w:val="00FA73A6"/>
    <w:rsid w:val="00FB2706"/>
    <w:rsid w:val="00FB3374"/>
    <w:rsid w:val="00FB67DE"/>
    <w:rsid w:val="00FD23CD"/>
    <w:rsid w:val="00FD52F6"/>
    <w:rsid w:val="00FD68B9"/>
    <w:rsid w:val="00FD6CB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 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s>
</file>

<file path=word/webSettings.xml><?xml version="1.0" encoding="utf-8"?>
<w:webSettings xmlns:r="http://schemas.openxmlformats.org/officeDocument/2006/relationships" xmlns:w="http://schemas.openxmlformats.org/wordprocessingml/2006/main">
  <w:divs>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procedures/index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deprgp.cc.cec.eu.int:1261/europeaid/prag/annexes.do?group=A&amp;local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ferdita.syla@cbmitrovica.org" TargetMode="External"/><Relationship Id="rId4" Type="http://schemas.openxmlformats.org/officeDocument/2006/relationships/settings" Target="settings.xml"/><Relationship Id="rId9" Type="http://schemas.openxmlformats.org/officeDocument/2006/relationships/hyperlink" Target="http://ec.europa.eu/comm/europeaid/index_en.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7F86-6EB7-4103-9060-A64B6DDC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34977</CharactersWithSpaces>
  <SharedDoc>false</SharedDoc>
  <HLinks>
    <vt:vector size="36" baseType="variant">
      <vt:variant>
        <vt:i4>3276832</vt:i4>
      </vt:variant>
      <vt:variant>
        <vt:i4>9</vt:i4>
      </vt:variant>
      <vt:variant>
        <vt:i4>0</vt:i4>
      </vt:variant>
      <vt:variant>
        <vt:i4>5</vt:i4>
      </vt:variant>
      <vt:variant>
        <vt:lpwstr>http://aideprgp.cc.cec.eu.int:1261/europeaid/prag/annexes.do?group=A&amp;locale=en</vt:lpwstr>
      </vt:variant>
      <vt:variant>
        <vt:lpwstr/>
      </vt:variant>
      <vt:variant>
        <vt:i4>5570617</vt:i4>
      </vt:variant>
      <vt:variant>
        <vt:i4>6</vt:i4>
      </vt:variant>
      <vt:variant>
        <vt:i4>0</vt:i4>
      </vt:variant>
      <vt:variant>
        <vt:i4>5</vt:i4>
      </vt:variant>
      <vt:variant>
        <vt:lpwstr>mailto:aferdita.syla@cbmitrovica.org</vt:lpwstr>
      </vt:variant>
      <vt:variant>
        <vt:lpwstr/>
      </vt:variant>
      <vt:variant>
        <vt:i4>8060956</vt:i4>
      </vt:variant>
      <vt:variant>
        <vt:i4>3</vt:i4>
      </vt:variant>
      <vt:variant>
        <vt:i4>0</vt:i4>
      </vt:variant>
      <vt:variant>
        <vt:i4>5</vt:i4>
      </vt:variant>
      <vt:variant>
        <vt:lpwstr>http://ec.europa.eu/comm/europeaid/index_en.htm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CBM Office</cp:lastModifiedBy>
  <cp:revision>2</cp:revision>
  <cp:lastPrinted>2014-02-03T12:00:00Z</cp:lastPrinted>
  <dcterms:created xsi:type="dcterms:W3CDTF">2016-07-15T13:27:00Z</dcterms:created>
  <dcterms:modified xsi:type="dcterms:W3CDTF">2016-07-15T13:27:00Z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